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F37B5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6" w:name="_GoBack"/>
      <w:bookmarkEnd w:id="6"/>
    </w:p>
    <w:p w14:paraId="4EED5914">
      <w:pPr>
        <w:spacing w:line="0" w:lineRule="atLeast"/>
        <w:rPr>
          <w:rFonts w:ascii="Arial" w:hAnsi="Arial" w:cs="Arial"/>
          <w:b/>
          <w:color w:val="C9142A"/>
          <w:sz w:val="36"/>
          <w:szCs w:val="36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IO43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20</w:t>
      </w:r>
      <w:r>
        <w:rPr>
          <w:rFonts w:hint="eastAsia" w:ascii="Arial" w:hAnsi="Arial" w:cs="Arial"/>
          <w:b/>
          <w:color w:val="C9142A"/>
          <w:sz w:val="36"/>
          <w:szCs w:val="36"/>
        </w:rPr>
        <w:t>T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F</w:t>
      </w:r>
      <w:r>
        <w:rPr>
          <w:rFonts w:hint="eastAsia" w:ascii="Arial" w:hAnsi="Arial" w:cs="Arial"/>
          <w:b/>
          <w:color w:val="C9142A"/>
          <w:sz w:val="36"/>
          <w:szCs w:val="36"/>
        </w:rPr>
        <w:t>-RR</w:t>
      </w:r>
    </w:p>
    <w:p w14:paraId="1C16B130">
      <w:pPr>
        <w:spacing w:line="320" w:lineRule="exact"/>
        <w:rPr>
          <w:rFonts w:ascii="微软雅黑" w:hAnsi="微软雅黑" w:eastAsia="微软雅黑" w:cs="Arial"/>
          <w:b/>
          <w:color w:val="C9142A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三层</w:t>
      </w: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单透膜-环保</w:t>
      </w:r>
    </w:p>
    <w:p w14:paraId="5C5369C1">
      <w:pPr>
        <w:spacing w:line="320" w:lineRule="exact"/>
        <w:rPr>
          <w:rFonts w:hint="eastAsia" w:ascii="微软雅黑" w:hAnsi="微软雅黑" w:eastAsia="微软雅黑" w:cs="Tahoma"/>
          <w:szCs w:val="21"/>
        </w:rPr>
      </w:pPr>
    </w:p>
    <w:p w14:paraId="26F8E6F6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1FC58DCE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面膜：160micron PVC黑白膜；</w:t>
      </w:r>
    </w:p>
    <w:p w14:paraId="0832A5A1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胶水：透明胶；</w:t>
      </w:r>
    </w:p>
    <w:p w14:paraId="2C94E82B">
      <w:pPr>
        <w:rPr>
          <w:rFonts w:hint="default" w:ascii="微软雅黑" w:hAnsi="微软雅黑" w:eastAsia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8"/>
          <w:szCs w:val="18"/>
        </w:rPr>
        <w:t>底纸：100gsm冲孔纸+100gsm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单塑纸</w:t>
      </w:r>
    </w:p>
    <w:p w14:paraId="777E5123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宽幅：1.27/1.37/1.52m</w:t>
      </w:r>
    </w:p>
    <w:p w14:paraId="1C665130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652CDF60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1、单向透视、遮光、保护个人隐私等功能；孔径1.60mm，透光率40%；</w:t>
      </w:r>
    </w:p>
    <w:p w14:paraId="509939A9">
      <w:pPr>
        <w:rPr>
          <w:rFonts w:ascii="微软雅黑" w:hAnsi="微软雅黑" w:eastAsia="微软雅黑" w:cs="Tahoma"/>
          <w:kern w:val="0"/>
          <w:sz w:val="18"/>
          <w:szCs w:val="16"/>
        </w:rPr>
      </w:pPr>
      <w:bookmarkStart w:id="0" w:name="OLE_LINK2"/>
      <w:bookmarkStart w:id="1" w:name="OLE_LINK4"/>
      <w:bookmarkStart w:id="2" w:name="OLE_LINK1"/>
      <w:bookmarkStart w:id="3" w:name="OLE_LINK5"/>
      <w:bookmarkStart w:id="4" w:name="OLE_LINK3"/>
      <w:bookmarkStart w:id="5" w:name="OLE_LINK6"/>
      <w:r>
        <w:rPr>
          <w:rFonts w:hint="eastAsia" w:ascii="微软雅黑" w:hAnsi="微软雅黑" w:eastAsia="微软雅黑"/>
          <w:sz w:val="18"/>
          <w:szCs w:val="18"/>
        </w:rPr>
        <w:t>2、</w:t>
      </w:r>
      <w:bookmarkEnd w:id="0"/>
      <w:bookmarkEnd w:id="1"/>
      <w:bookmarkEnd w:id="2"/>
      <w:bookmarkEnd w:id="3"/>
      <w:bookmarkEnd w:id="4"/>
      <w:bookmarkEnd w:id="5"/>
      <w:r>
        <w:rPr>
          <w:rFonts w:ascii="微软雅黑" w:hAnsi="微软雅黑" w:eastAsia="微软雅黑" w:cs="Tahoma"/>
          <w:kern w:val="0"/>
          <w:sz w:val="18"/>
          <w:szCs w:val="16"/>
        </w:rPr>
        <w:t>产品吸墨稳定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，尺寸稳定性高;</w:t>
      </w:r>
    </w:p>
    <w:p w14:paraId="7A664808">
      <w:pPr>
        <w:rPr>
          <w:rFonts w:ascii="微软雅黑" w:hAnsi="微软雅黑" w:eastAsia="微软雅黑" w:cs="Tahoma"/>
          <w:kern w:val="0"/>
          <w:sz w:val="18"/>
          <w:szCs w:val="16"/>
        </w:rPr>
      </w:pPr>
      <w:r>
        <w:rPr>
          <w:rFonts w:hint="eastAsia" w:ascii="微软雅黑" w:hAnsi="微软雅黑" w:eastAsia="微软雅黑" w:cs="Tahoma"/>
          <w:kern w:val="0"/>
          <w:sz w:val="18"/>
          <w:szCs w:val="16"/>
        </w:rPr>
        <w:t>3、通过REACH(</w:t>
      </w:r>
      <w:r>
        <w:rPr>
          <w:rFonts w:ascii="微软雅黑" w:hAnsi="微软雅黑" w:eastAsia="微软雅黑" w:cs="Tahoma"/>
          <w:kern w:val="0"/>
          <w:sz w:val="18"/>
          <w:szCs w:val="16"/>
        </w:rPr>
        <w:t>NO 1907/2006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)、RoSH2.0认证，符合欧盟环保要求。</w:t>
      </w:r>
    </w:p>
    <w:p w14:paraId="33AD3952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38C734BB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适用于玻璃应用，同时也可适用于透明亚克力板、PVC、PET透明板等。</w:t>
      </w:r>
    </w:p>
    <w:p w14:paraId="29DA3B88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</w:rPr>
        <w:t>本产品适用于</w:t>
      </w:r>
      <w:r>
        <w:rPr>
          <w:rFonts w:hint="eastAsia" w:ascii="微软雅黑" w:hAnsi="微软雅黑" w:eastAsia="微软雅黑"/>
          <w:color w:val="000000"/>
          <w:sz w:val="18"/>
        </w:rPr>
        <w:t>各种溶剂型、弱溶剂型</w:t>
      </w:r>
      <w:r>
        <w:rPr>
          <w:rFonts w:hint="eastAsia" w:ascii="微软雅黑" w:hAnsi="微软雅黑" w:eastAsia="微软雅黑"/>
          <w:color w:val="000000"/>
          <w:sz w:val="18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18"/>
          <w:lang w:val="en-US" w:eastAsia="zh-CN"/>
        </w:rPr>
        <w:t>HP Latex 、UV</w:t>
      </w:r>
      <w:r>
        <w:rPr>
          <w:rFonts w:hint="eastAsia" w:ascii="微软雅黑" w:hAnsi="微软雅黑" w:eastAsia="微软雅黑"/>
          <w:color w:val="000000"/>
          <w:sz w:val="18"/>
        </w:rPr>
        <w:t>墨水喷印方式</w:t>
      </w:r>
      <w:r>
        <w:rPr>
          <w:rFonts w:hint="eastAsia" w:ascii="微软雅黑" w:hAnsi="微软雅黑" w:eastAsia="微软雅黑"/>
          <w:sz w:val="18"/>
          <w:szCs w:val="18"/>
        </w:rPr>
        <w:t>。</w:t>
      </w:r>
    </w:p>
    <w:p w14:paraId="1148B211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2417E8CB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5"/>
        <w:tblW w:w="677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1140"/>
        <w:gridCol w:w="2021"/>
        <w:gridCol w:w="1559"/>
      </w:tblGrid>
      <w:tr w14:paraId="25B0DBC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205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auto"/>
          </w:tcPr>
          <w:p w14:paraId="14EB9621">
            <w:pPr>
              <w:ind w:firstLine="320"/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指标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auto"/>
          </w:tcPr>
          <w:p w14:paraId="6DA3BF7F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单位</w:t>
            </w:r>
          </w:p>
        </w:tc>
        <w:tc>
          <w:tcPr>
            <w:tcW w:w="20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auto"/>
          </w:tcPr>
          <w:p w14:paraId="255B75D3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测试方法</w:t>
            </w:r>
          </w:p>
        </w:tc>
        <w:tc>
          <w:tcPr>
            <w:tcW w:w="15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auto"/>
          </w:tcPr>
          <w:p w14:paraId="4BF046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  <w:t>标准</w:t>
            </w:r>
          </w:p>
        </w:tc>
      </w:tr>
      <w:tr w14:paraId="4764E3C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2051" w:type="dxa"/>
            <w:shd w:val="clear" w:color="auto" w:fill="auto"/>
          </w:tcPr>
          <w:p w14:paraId="15CB396F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PVC 膜厚度</w:t>
            </w:r>
          </w:p>
          <w:p w14:paraId="52309668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 w:ascii="Tahoma" w:hAnsi="Tahoma" w:cs="Tahoma"/>
                <w:color w:val="000000"/>
                <w:sz w:val="16"/>
                <w:szCs w:val="18"/>
              </w:rPr>
              <w:t>底纸克重</w:t>
            </w:r>
          </w:p>
          <w:p w14:paraId="5D7DB04F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成品重量</w:t>
            </w:r>
          </w:p>
          <w:p w14:paraId="4244EC98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 w14:paraId="56404A2C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尺寸稳定性MD</w:t>
            </w:r>
          </w:p>
          <w:p w14:paraId="60DA1605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尺寸稳定性CD</w:t>
            </w:r>
          </w:p>
          <w:p w14:paraId="623EA0A4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拉伸强度 MD</w:t>
            </w:r>
          </w:p>
          <w:p w14:paraId="2EA1C9D5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拉伸强度 CD</w:t>
            </w:r>
          </w:p>
          <w:p w14:paraId="7BEBE5EE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施工温度</w:t>
            </w:r>
          </w:p>
          <w:p w14:paraId="531A598A">
            <w:pPr>
              <w:rPr>
                <w:rFonts w:ascii="Tahoma" w:hAnsi="Tahoma" w:cs="Tahom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适用温度</w:t>
            </w:r>
          </w:p>
        </w:tc>
        <w:tc>
          <w:tcPr>
            <w:tcW w:w="1140" w:type="dxa"/>
            <w:shd w:val="clear" w:color="auto" w:fill="auto"/>
          </w:tcPr>
          <w:p w14:paraId="5E9EE770">
            <w:pPr>
              <w:rPr>
                <w:rFonts w:ascii="Tahoma" w:hAnsi="Tahoma" w:cs="Tahoma"/>
                <w:bCs/>
                <w:color w:val="000000"/>
                <w:sz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</w:rPr>
              <w:t>Micron</w:t>
            </w:r>
          </w:p>
          <w:p w14:paraId="7CBA1DBB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g/m²</w:t>
            </w:r>
          </w:p>
          <w:p w14:paraId="641218B1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g/m²</w:t>
            </w:r>
          </w:p>
          <w:p w14:paraId="2507C022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N/25mm</w:t>
            </w:r>
          </w:p>
          <w:p w14:paraId="5B278A0F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mm</w:t>
            </w:r>
          </w:p>
          <w:p w14:paraId="7CCCD1D7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mm</w:t>
            </w:r>
          </w:p>
          <w:p w14:paraId="121A1C87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 mm</w:t>
            </w:r>
          </w:p>
          <w:p w14:paraId="7D892DC1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N/25 mm</w:t>
            </w:r>
          </w:p>
          <w:p w14:paraId="512B38C6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6"/>
                <w:szCs w:val="18"/>
              </w:rPr>
              <w:t>℃</w:t>
            </w:r>
          </w:p>
          <w:p w14:paraId="689A0275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6"/>
                <w:szCs w:val="18"/>
              </w:rPr>
              <w:t>℃</w:t>
            </w:r>
          </w:p>
        </w:tc>
        <w:tc>
          <w:tcPr>
            <w:tcW w:w="2021" w:type="dxa"/>
            <w:shd w:val="clear" w:color="auto" w:fill="auto"/>
          </w:tcPr>
          <w:p w14:paraId="0C5C49A7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GB/T6672-2001</w:t>
            </w:r>
          </w:p>
          <w:p w14:paraId="79855FCC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GB4669-1995</w:t>
            </w:r>
          </w:p>
          <w:p w14:paraId="54E4BDC0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GB4669-1995</w:t>
            </w:r>
          </w:p>
          <w:p w14:paraId="2C88DF6F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1</w:t>
            </w:r>
          </w:p>
          <w:p w14:paraId="11C73CE2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14</w:t>
            </w:r>
          </w:p>
          <w:p w14:paraId="3B28BC90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FTM</w:t>
            </w:r>
            <w:r>
              <w:rPr>
                <w:rFonts w:hint="eastAsia" w:ascii="Tahoma" w:hAnsi="Tahoma" w:cs="Tahoma"/>
                <w:bCs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 xml:space="preserve">14   </w:t>
            </w:r>
          </w:p>
          <w:p w14:paraId="0B9B63C5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GB/T1040.1-2006</w:t>
            </w:r>
          </w:p>
          <w:p w14:paraId="0DC92AA6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8"/>
              </w:rPr>
              <w:t>GB/T1040.1-2006</w:t>
            </w:r>
          </w:p>
          <w:p w14:paraId="3E7EDAA2">
            <w:pPr>
              <w:rPr>
                <w:rFonts w:ascii="Tahoma" w:hAnsi="Tahoma" w:cs="Tahoma"/>
                <w:bCs/>
                <w:color w:val="000000"/>
                <w:sz w:val="16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B3FE728">
            <w:pPr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1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6</w:t>
            </w:r>
            <w:r>
              <w:rPr>
                <w:rFonts w:ascii="Tahoma" w:hAnsi="Tahoma" w:cs="Tahoma"/>
                <w:bCs/>
                <w:sz w:val="16"/>
                <w:szCs w:val="18"/>
              </w:rPr>
              <w:t>0±10</w:t>
            </w:r>
          </w:p>
          <w:p w14:paraId="153C0C3B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hint="eastAsia" w:ascii="Tahoma" w:hAnsi="Tahoma" w:cs="Tahoma"/>
                <w:sz w:val="16"/>
                <w:szCs w:val="18"/>
              </w:rPr>
              <w:t>1</w:t>
            </w:r>
            <w:r>
              <w:rPr>
                <w:rFonts w:hint="eastAsia" w:ascii="Tahoma" w:hAnsi="Tahoma" w:cs="Tahoma"/>
                <w:sz w:val="16"/>
                <w:szCs w:val="18"/>
                <w:lang w:val="en-US" w:eastAsia="zh-CN"/>
              </w:rPr>
              <w:t>6</w:t>
            </w:r>
            <w:r>
              <w:rPr>
                <w:rFonts w:hint="eastAsia" w:ascii="Tahoma" w:hAnsi="Tahoma" w:cs="Tahoma"/>
                <w:sz w:val="16"/>
                <w:szCs w:val="18"/>
              </w:rPr>
              <w:t>0</w:t>
            </w:r>
            <w:r>
              <w:rPr>
                <w:rFonts w:ascii="Tahoma" w:hAnsi="Tahoma" w:cs="Tahoma"/>
                <w:bCs/>
                <w:sz w:val="16"/>
                <w:szCs w:val="18"/>
              </w:rPr>
              <w:t>±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10</w:t>
            </w:r>
          </w:p>
          <w:p w14:paraId="5CD250B5">
            <w:pPr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hint="eastAsia" w:ascii="Tahoma" w:hAnsi="Tahoma" w:cs="Tahoma"/>
                <w:bCs/>
                <w:sz w:val="16"/>
                <w:szCs w:val="18"/>
              </w:rPr>
              <w:t>32</w:t>
            </w:r>
            <w:r>
              <w:rPr>
                <w:rFonts w:hint="eastAsia" w:ascii="Tahoma" w:hAnsi="Tahoma" w:cs="Tahoma"/>
                <w:bCs/>
                <w:sz w:val="16"/>
                <w:szCs w:val="18"/>
                <w:lang w:val="en-US" w:eastAsia="zh-CN"/>
              </w:rPr>
              <w:t>0</w:t>
            </w:r>
            <w:r>
              <w:rPr>
                <w:rFonts w:ascii="Tahoma" w:hAnsi="Tahoma" w:cs="Tahoma"/>
                <w:bCs/>
                <w:sz w:val="16"/>
                <w:szCs w:val="18"/>
              </w:rPr>
              <w:t>±20</w:t>
            </w:r>
          </w:p>
          <w:p w14:paraId="24FC3445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≥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5</w:t>
            </w:r>
          </w:p>
          <w:p w14:paraId="3095DA54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≤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0.5</w:t>
            </w:r>
          </w:p>
          <w:p w14:paraId="72401583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≤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0.4</w:t>
            </w:r>
          </w:p>
          <w:p w14:paraId="351D4B1E">
            <w:pPr>
              <w:rPr>
                <w:rFonts w:ascii="Tahoma" w:hAnsi="Tahoma" w:cs="Tahoma"/>
                <w:b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≥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35</w:t>
            </w:r>
          </w:p>
          <w:p w14:paraId="70985B23">
            <w:pPr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≥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30</w:t>
            </w:r>
          </w:p>
          <w:p w14:paraId="012EE693">
            <w:pPr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hint="eastAsia" w:ascii="Tahoma" w:hAnsi="Tahoma" w:cs="Tahoma"/>
                <w:bCs/>
                <w:sz w:val="16"/>
                <w:szCs w:val="18"/>
              </w:rPr>
              <w:t>20</w:t>
            </w:r>
            <w:r>
              <w:rPr>
                <w:rFonts w:ascii="Tahoma" w:hAnsi="Tahoma" w:cs="Tahoma"/>
                <w:bCs/>
                <w:sz w:val="16"/>
                <w:szCs w:val="18"/>
              </w:rPr>
              <w:t>±</w:t>
            </w:r>
            <w:r>
              <w:rPr>
                <w:rFonts w:hint="eastAsia" w:ascii="Tahoma" w:hAnsi="Tahoma" w:cs="Tahoma"/>
                <w:bCs/>
                <w:sz w:val="16"/>
                <w:szCs w:val="18"/>
              </w:rPr>
              <w:t>1</w:t>
            </w:r>
            <w:r>
              <w:rPr>
                <w:rFonts w:ascii="Tahoma" w:hAnsi="Tahoma" w:cs="Tahoma"/>
                <w:bCs/>
                <w:sz w:val="16"/>
                <w:szCs w:val="18"/>
              </w:rPr>
              <w:t>0</w:t>
            </w:r>
          </w:p>
          <w:p w14:paraId="27F50CFE">
            <w:pPr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-20 ~ +70</w:t>
            </w:r>
          </w:p>
        </w:tc>
      </w:tr>
    </w:tbl>
    <w:p w14:paraId="0EF772D1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11764896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5E5511FF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所有</w:t>
      </w:r>
      <w:r>
        <w:rPr>
          <w:rFonts w:ascii="微软雅黑" w:hAnsi="微软雅黑" w:eastAsia="微软雅黑"/>
          <w:sz w:val="18"/>
          <w:szCs w:val="18"/>
        </w:rPr>
        <w:t>INFLEX</w:t>
      </w:r>
      <w:r>
        <w:rPr>
          <w:rFonts w:hint="eastAsia" w:ascii="微软雅黑" w:hAnsi="微软雅黑" w:eastAsia="微软雅黑"/>
          <w:sz w:val="18"/>
          <w:szCs w:val="18"/>
        </w:rPr>
        <w:t>的产品需储放在原始包装中用原始的保护材料，建议密封保存，水平放置，叠放层高不宜超过6层，避免阳光直射、热源直接接触。仓储温度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5℃、相对湿度50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15%。在这种条件下，该产品储存期是12个月。</w:t>
      </w:r>
    </w:p>
    <w:p w14:paraId="73ACA931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1BB5778D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制作环境：</w:t>
      </w:r>
      <w:r>
        <w:rPr>
          <w:rFonts w:ascii="微软雅黑" w:hAnsi="微软雅黑" w:eastAsia="微软雅黑"/>
          <w:sz w:val="18"/>
          <w:szCs w:val="18"/>
        </w:rPr>
        <w:t>INFLEX</w:t>
      </w:r>
      <w:r>
        <w:rPr>
          <w:rFonts w:hint="eastAsia" w:ascii="微软雅黑" w:hAnsi="微软雅黑" w:eastAsia="微软雅黑"/>
          <w:sz w:val="18"/>
          <w:szCs w:val="18"/>
        </w:rPr>
        <w:t>产品建议在温度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5℃，相对湿度为50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10%，洁净无尘、无悬浮物的环境下使用；建议产品需提前24h从仓储环境转移至喷绘环境；墨水因匹配的设备不同，所以使用前请先测试；建议喷绘时需要留足够白边空隙。</w:t>
      </w:r>
    </w:p>
    <w:p w14:paraId="7F6E3C66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张贴要求：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10℃，相对湿度为50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10%；粘贴于平整、光滑、洁净、表面无浮尘、表皮无脱落的物体表面，贴合必要养护时间需要2小时以上。</w:t>
      </w:r>
    </w:p>
    <w:p w14:paraId="12EF08FD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137B4C57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存储期：在原始的包装中储存期限为12个月；</w:t>
      </w:r>
    </w:p>
    <w:p w14:paraId="74FCFA0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使用期限：未打印画面，自产品生产日期起一年内有效，逾期不接受投诉。</w:t>
      </w:r>
    </w:p>
    <w:p w14:paraId="2472BE9B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159A5740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INFLEX所有有关材料的说明、技术信息及应用推荐是基于我们认为可信的典型性测试结果，不同国家、地区环境湿度高于70%以上喷绘打印效果有所下降。</w:t>
      </w:r>
    </w:p>
    <w:p w14:paraId="06BA3A52"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 w14:paraId="572ABA76">
      <w:pPr>
        <w:rPr>
          <w:rFonts w:ascii="微软雅黑" w:hAnsi="微软雅黑" w:eastAsia="微软雅黑" w:cs="宋体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※ </w:t>
      </w:r>
      <w:r>
        <w:rPr>
          <w:rFonts w:hint="eastAsia" w:ascii="微软雅黑" w:hAnsi="微软雅黑" w:eastAsia="微软雅黑" w:cs="宋体"/>
          <w:szCs w:val="21"/>
        </w:rPr>
        <w:t>上海壹丰广场：</w:t>
      </w:r>
    </w:p>
    <w:p w14:paraId="0FDE2F8A">
      <w:pPr>
        <w:rPr>
          <w:rFonts w:ascii="微软雅黑" w:hAnsi="微软雅黑" w:eastAsia="微软雅黑"/>
          <w:sz w:val="18"/>
          <w:szCs w:val="18"/>
        </w:rPr>
      </w:pPr>
      <w:r>
        <w:rPr>
          <w:rFonts w:ascii="微软雅黑" w:hAnsi="微软雅黑" w:eastAsia="微软雅黑"/>
          <w:sz w:val="18"/>
          <w:szCs w:val="18"/>
        </w:rPr>
        <w:drawing>
          <wp:inline distT="0" distB="0" distL="0" distR="0">
            <wp:extent cx="3305175" cy="2819400"/>
            <wp:effectExtent l="0" t="0" r="9525" b="0"/>
            <wp:docPr id="4" name="图片 4" descr="C:\Users\N2098\Desktop\白皮书应用图片 - 副本\玻璃装饰应用\单透膜\IMG_20190909_15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N2098\Desktop\白皮书应用图片 - 副本\玻璃装饰应用\单透膜\IMG_20190909_155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 w:val="18"/>
          <w:szCs w:val="18"/>
        </w:rPr>
        <w:drawing>
          <wp:inline distT="0" distB="0" distL="0" distR="0">
            <wp:extent cx="2990850" cy="2819400"/>
            <wp:effectExtent l="0" t="0" r="0" b="0"/>
            <wp:docPr id="7" name="图片 7" descr="C:\Users\N2098\Desktop\白皮书应用图片 - 副本\玻璃装饰应用\单透膜\IMG_20190909_15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N2098\Desktop\白皮书应用图片 - 副本\玻璃装饰应用\单透膜\IMG_20190909_155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18"/>
          <w:szCs w:val="18"/>
        </w:rPr>
        <w:t xml:space="preserve">     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35261">
    <w:pPr>
      <w:pStyle w:val="3"/>
    </w:pPr>
    <w:r>
      <w:drawing>
        <wp:inline distT="0" distB="0" distL="0" distR="0">
          <wp:extent cx="6592570" cy="53594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536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ACA04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1F39E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B3F60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66D30"/>
    <w:rsid w:val="00093ADB"/>
    <w:rsid w:val="000A020F"/>
    <w:rsid w:val="000E3C3F"/>
    <w:rsid w:val="000F0436"/>
    <w:rsid w:val="00157367"/>
    <w:rsid w:val="00171EB9"/>
    <w:rsid w:val="0021323A"/>
    <w:rsid w:val="0021618D"/>
    <w:rsid w:val="002C1C01"/>
    <w:rsid w:val="00322832"/>
    <w:rsid w:val="00396D75"/>
    <w:rsid w:val="003E3B8F"/>
    <w:rsid w:val="003F4E6E"/>
    <w:rsid w:val="00466487"/>
    <w:rsid w:val="004870AC"/>
    <w:rsid w:val="0049577E"/>
    <w:rsid w:val="00513DB2"/>
    <w:rsid w:val="00544DF9"/>
    <w:rsid w:val="005F0BF2"/>
    <w:rsid w:val="006152F3"/>
    <w:rsid w:val="00621927"/>
    <w:rsid w:val="00797CAA"/>
    <w:rsid w:val="007F1C8F"/>
    <w:rsid w:val="007F6058"/>
    <w:rsid w:val="008201E7"/>
    <w:rsid w:val="00866513"/>
    <w:rsid w:val="00874D1B"/>
    <w:rsid w:val="008872C3"/>
    <w:rsid w:val="008B09D7"/>
    <w:rsid w:val="008E2276"/>
    <w:rsid w:val="00953E43"/>
    <w:rsid w:val="009C3ACD"/>
    <w:rsid w:val="009D5FAB"/>
    <w:rsid w:val="00AB1E91"/>
    <w:rsid w:val="00AB7425"/>
    <w:rsid w:val="00AF792A"/>
    <w:rsid w:val="00B02D39"/>
    <w:rsid w:val="00B85DDF"/>
    <w:rsid w:val="00B95857"/>
    <w:rsid w:val="00BA031A"/>
    <w:rsid w:val="00BB3F4F"/>
    <w:rsid w:val="00BD321A"/>
    <w:rsid w:val="00C10438"/>
    <w:rsid w:val="00C261BF"/>
    <w:rsid w:val="00C46C6B"/>
    <w:rsid w:val="00C46E52"/>
    <w:rsid w:val="00C73DE6"/>
    <w:rsid w:val="00CB3F6C"/>
    <w:rsid w:val="00D13ADC"/>
    <w:rsid w:val="00D55103"/>
    <w:rsid w:val="00D94068"/>
    <w:rsid w:val="00DD5808"/>
    <w:rsid w:val="00DE2647"/>
    <w:rsid w:val="00E0693A"/>
    <w:rsid w:val="00E657F7"/>
    <w:rsid w:val="00E67D0D"/>
    <w:rsid w:val="00E861FB"/>
    <w:rsid w:val="00EF6676"/>
    <w:rsid w:val="00F5329B"/>
    <w:rsid w:val="00F54953"/>
    <w:rsid w:val="00F92B70"/>
    <w:rsid w:val="00FD327B"/>
    <w:rsid w:val="16BB0D4B"/>
    <w:rsid w:val="2DF7645F"/>
    <w:rsid w:val="30FC515D"/>
    <w:rsid w:val="452157F6"/>
    <w:rsid w:val="64685867"/>
    <w:rsid w:val="685B3C6C"/>
    <w:rsid w:val="78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8EB7C-07E6-4143-A097-7BE0723612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743</Words>
  <Characters>1003</Characters>
  <Lines>7</Lines>
  <Paragraphs>2</Paragraphs>
  <TotalTime>18</TotalTime>
  <ScaleCrop>false</ScaleCrop>
  <LinksUpToDate>false</LinksUpToDate>
  <CharactersWithSpaces>1038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2018-10-16T05:45:00Z</dcterms:created>
  <dc:creator>Qin Yu-秦超(NAR)</dc:creator>
  <cp:lastModifiedBy>006152</cp:lastModifiedBy>
  <cp:lastPrinted>2018-08-20T01:40:00Z</cp:lastPrinted>
  <dcterms:modified xsi:type="dcterms:W3CDTF">2025-07-04T08:12:21Z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EC704D85E8D849CE89D170F1F9092875_13</vt:lpwstr>
  </property>
</Properties>
</file>