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" w:lineRule="exact"/>
        <w:rPr>
          <w:rFonts w:ascii="Arial" w:hAnsi="Arial" w:cs="Arial"/>
          <w:b/>
          <w:color w:val="005BAC"/>
          <w:sz w:val="36"/>
          <w:szCs w:val="36"/>
        </w:rPr>
      </w:pPr>
    </w:p>
    <w:p>
      <w:pPr>
        <w:spacing w:line="0" w:lineRule="atLeast"/>
        <w:rPr>
          <w:rFonts w:ascii="Arial" w:hAnsi="Arial" w:cs="Arial"/>
          <w:b/>
          <w:color w:val="C9142A"/>
          <w:sz w:val="36"/>
          <w:szCs w:val="36"/>
        </w:rPr>
      </w:pPr>
      <w:r>
        <w:rPr>
          <w:rFonts w:hint="eastAsia" w:ascii="Arial" w:hAnsi="Arial" w:cs="Arial"/>
          <w:b/>
          <w:color w:val="C9142A"/>
          <w:sz w:val="36"/>
          <w:szCs w:val="36"/>
        </w:rPr>
        <w:t>IO4</w:t>
      </w:r>
      <w:r>
        <w:rPr>
          <w:rFonts w:hint="eastAsia" w:ascii="Arial" w:hAnsi="Arial" w:cs="Arial"/>
          <w:b/>
          <w:color w:val="C9142A"/>
          <w:sz w:val="36"/>
          <w:szCs w:val="36"/>
          <w:lang w:val="en-US" w:eastAsia="zh-CN"/>
        </w:rPr>
        <w:t>620</w:t>
      </w:r>
      <w:r>
        <w:rPr>
          <w:rFonts w:hint="eastAsia" w:ascii="Arial" w:hAnsi="Arial" w:cs="Arial"/>
          <w:b/>
          <w:color w:val="C9142A"/>
          <w:sz w:val="36"/>
          <w:szCs w:val="36"/>
        </w:rPr>
        <w:t>T</w:t>
      </w:r>
      <w:r>
        <w:rPr>
          <w:rFonts w:hint="eastAsia" w:ascii="Arial" w:hAnsi="Arial" w:cs="Arial"/>
          <w:b/>
          <w:color w:val="C9142A"/>
          <w:sz w:val="36"/>
          <w:szCs w:val="36"/>
          <w:lang w:val="en-US" w:eastAsia="zh-CN"/>
        </w:rPr>
        <w:t>F</w:t>
      </w:r>
      <w:r>
        <w:rPr>
          <w:rFonts w:hint="eastAsia" w:ascii="Arial" w:hAnsi="Arial" w:cs="Arial"/>
          <w:b/>
          <w:color w:val="C9142A"/>
          <w:sz w:val="36"/>
          <w:szCs w:val="36"/>
        </w:rPr>
        <w:t>-RR</w:t>
      </w:r>
    </w:p>
    <w:p>
      <w:pPr>
        <w:spacing w:line="320" w:lineRule="exact"/>
        <w:rPr>
          <w:rFonts w:ascii="微软雅黑" w:hAnsi="微软雅黑" w:eastAsia="微软雅黑" w:cs="Arial"/>
          <w:b/>
          <w:color w:val="C9142A"/>
          <w:sz w:val="24"/>
          <w:szCs w:val="24"/>
        </w:rPr>
      </w:pPr>
      <w:r>
        <w:rPr>
          <w:rFonts w:hint="eastAsia" w:ascii="微软雅黑" w:hAnsi="微软雅黑" w:eastAsia="微软雅黑" w:cs="Arial"/>
          <w:b/>
          <w:color w:val="C9142A"/>
          <w:sz w:val="24"/>
          <w:szCs w:val="24"/>
        </w:rPr>
        <w:t>三层单透膜-环保</w:t>
      </w:r>
    </w:p>
    <w:p>
      <w:pPr>
        <w:spacing w:line="320" w:lineRule="exact"/>
        <w:rPr>
          <w:rFonts w:hint="eastAsia" w:ascii="微软雅黑" w:hAnsi="微软雅黑" w:eastAsia="微软雅黑" w:cs="Tahoma"/>
          <w:szCs w:val="21"/>
        </w:rPr>
      </w:pPr>
    </w:p>
    <w:p>
      <w:pPr>
        <w:pStyle w:val="11"/>
        <w:rPr>
          <w:rFonts w:ascii="微软雅黑" w:hAnsi="微软雅黑" w:eastAsia="微软雅黑" w:cstheme="minorBidi"/>
          <w:b/>
          <w:color w:val="C00000"/>
          <w:kern w:val="2"/>
        </w:rPr>
      </w:pPr>
      <w:r>
        <w:rPr>
          <w:rFonts w:hint="eastAsia" w:ascii="微软雅黑" w:hAnsi="微软雅黑" w:eastAsia="微软雅黑" w:cstheme="minorBidi"/>
          <w:b/>
          <w:color w:val="C00000"/>
          <w:kern w:val="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143510</wp:posOffset>
            </wp:positionV>
            <wp:extent cx="150495" cy="150495"/>
            <wp:effectExtent l="0" t="0" r="1905" b="1905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theme="minorBidi"/>
          <w:b/>
          <w:color w:val="C00000"/>
          <w:kern w:val="2"/>
        </w:rPr>
        <w:t>产品描述：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面膜：160micron PVC黑白膜；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胶水：透明胶；</w:t>
      </w:r>
    </w:p>
    <w:p>
      <w:pPr>
        <w:rPr>
          <w:rFonts w:hint="default" w:ascii="微软雅黑" w:hAnsi="微软雅黑" w:eastAsia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/>
          <w:sz w:val="18"/>
          <w:szCs w:val="18"/>
        </w:rPr>
        <w:t>底纸：100gsm冲孔纸+100gsm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单塑纸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宽幅：1.27/1.37/1.52m</w:t>
      </w:r>
    </w:p>
    <w:p>
      <w:pPr>
        <w:pStyle w:val="11"/>
        <w:rPr>
          <w:rFonts w:ascii="微软雅黑" w:hAnsi="微软雅黑" w:eastAsia="微软雅黑" w:cstheme="minorBidi"/>
          <w:b/>
          <w:color w:val="C00000"/>
          <w:kern w:val="2"/>
        </w:rPr>
      </w:pPr>
      <w:r>
        <w:rPr>
          <w:rFonts w:hint="eastAsia" w:ascii="微软雅黑" w:hAnsi="微软雅黑" w:eastAsia="微软雅黑" w:cstheme="minorBidi"/>
          <w:b/>
          <w:color w:val="C00000"/>
          <w:kern w:val="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140335</wp:posOffset>
            </wp:positionV>
            <wp:extent cx="150495" cy="150495"/>
            <wp:effectExtent l="0" t="0" r="1905" b="1905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theme="minorBidi"/>
          <w:b/>
          <w:color w:val="C00000"/>
          <w:kern w:val="2"/>
        </w:rPr>
        <w:t xml:space="preserve">产品特点：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1、单向透视、遮光、保护个人隐私等功能；孔径1.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4</w:t>
      </w:r>
      <w:r>
        <w:rPr>
          <w:rFonts w:hint="eastAsia" w:ascii="微软雅黑" w:hAnsi="微软雅黑" w:eastAsia="微软雅黑"/>
          <w:sz w:val="18"/>
          <w:szCs w:val="18"/>
        </w:rPr>
        <w:t>0mm，透光率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3</w:t>
      </w:r>
      <w:r>
        <w:rPr>
          <w:rFonts w:hint="eastAsia" w:ascii="微软雅黑" w:hAnsi="微软雅黑" w:eastAsia="微软雅黑"/>
          <w:sz w:val="18"/>
          <w:szCs w:val="18"/>
        </w:rPr>
        <w:t>0%；</w:t>
      </w:r>
    </w:p>
    <w:p>
      <w:pPr>
        <w:rPr>
          <w:rFonts w:ascii="微软雅黑" w:hAnsi="微软雅黑" w:eastAsia="微软雅黑" w:cs="Tahoma"/>
          <w:kern w:val="0"/>
          <w:sz w:val="18"/>
          <w:szCs w:val="16"/>
        </w:rPr>
      </w:pPr>
      <w:bookmarkStart w:id="0" w:name="OLE_LINK5"/>
      <w:bookmarkStart w:id="1" w:name="OLE_LINK3"/>
      <w:bookmarkStart w:id="2" w:name="OLE_LINK6"/>
      <w:bookmarkStart w:id="3" w:name="OLE_LINK1"/>
      <w:bookmarkStart w:id="4" w:name="OLE_LINK4"/>
      <w:bookmarkStart w:id="5" w:name="OLE_LINK2"/>
      <w:r>
        <w:rPr>
          <w:rFonts w:hint="eastAsia" w:ascii="微软雅黑" w:hAnsi="微软雅黑" w:eastAsia="微软雅黑"/>
          <w:sz w:val="18"/>
          <w:szCs w:val="18"/>
        </w:rPr>
        <w:t>2、</w:t>
      </w:r>
      <w:bookmarkEnd w:id="0"/>
      <w:bookmarkEnd w:id="1"/>
      <w:bookmarkEnd w:id="2"/>
      <w:bookmarkEnd w:id="3"/>
      <w:bookmarkEnd w:id="4"/>
      <w:bookmarkEnd w:id="5"/>
      <w:r>
        <w:rPr>
          <w:rFonts w:ascii="微软雅黑" w:hAnsi="微软雅黑" w:eastAsia="微软雅黑" w:cs="Tahoma"/>
          <w:kern w:val="0"/>
          <w:sz w:val="18"/>
          <w:szCs w:val="16"/>
        </w:rPr>
        <w:t>产品吸墨稳定</w:t>
      </w:r>
      <w:r>
        <w:rPr>
          <w:rFonts w:hint="eastAsia" w:ascii="微软雅黑" w:hAnsi="微软雅黑" w:eastAsia="微软雅黑" w:cs="Tahoma"/>
          <w:kern w:val="0"/>
          <w:sz w:val="18"/>
          <w:szCs w:val="16"/>
        </w:rPr>
        <w:t>，尺寸稳定性高;</w:t>
      </w:r>
    </w:p>
    <w:p>
      <w:pPr>
        <w:rPr>
          <w:rFonts w:ascii="微软雅黑" w:hAnsi="微软雅黑" w:eastAsia="微软雅黑" w:cs="Tahoma"/>
          <w:kern w:val="0"/>
          <w:sz w:val="18"/>
          <w:szCs w:val="16"/>
        </w:rPr>
      </w:pPr>
      <w:r>
        <w:rPr>
          <w:rFonts w:hint="eastAsia" w:ascii="微软雅黑" w:hAnsi="微软雅黑" w:eastAsia="微软雅黑" w:cs="Tahoma"/>
          <w:kern w:val="0"/>
          <w:sz w:val="18"/>
          <w:szCs w:val="16"/>
        </w:rPr>
        <w:t>3、通过REACH(</w:t>
      </w:r>
      <w:r>
        <w:rPr>
          <w:rFonts w:ascii="微软雅黑" w:hAnsi="微软雅黑" w:eastAsia="微软雅黑" w:cs="Tahoma"/>
          <w:kern w:val="0"/>
          <w:sz w:val="18"/>
          <w:szCs w:val="16"/>
        </w:rPr>
        <w:t>NO 1907/2006</w:t>
      </w:r>
      <w:r>
        <w:rPr>
          <w:rFonts w:hint="eastAsia" w:ascii="微软雅黑" w:hAnsi="微软雅黑" w:eastAsia="微软雅黑" w:cs="Tahoma"/>
          <w:kern w:val="0"/>
          <w:sz w:val="18"/>
          <w:szCs w:val="16"/>
        </w:rPr>
        <w:t>)、RoSH2.0认证，符合欧盟环保要求。</w:t>
      </w:r>
      <w:bookmarkStart w:id="6" w:name="_GoBack"/>
      <w:bookmarkEnd w:id="6"/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C00000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151130</wp:posOffset>
            </wp:positionV>
            <wp:extent cx="150495" cy="150495"/>
            <wp:effectExtent l="0" t="0" r="1905" b="1905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C00000"/>
          <w:sz w:val="24"/>
          <w:szCs w:val="24"/>
        </w:rPr>
        <w:t>产品应用：</w:t>
      </w:r>
      <w:r>
        <w:rPr>
          <w:rFonts w:hint="eastAsia" w:ascii="微软雅黑" w:hAnsi="微软雅黑" w:eastAsia="微软雅黑"/>
          <w:b/>
          <w:color w:val="C00000"/>
        </w:rPr>
        <w:t xml:space="preserve">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适用于玻璃应用，同时也可适用于透明亚克力板、PVC、PET透明板等。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</w:rPr>
        <w:t>本产品适用于</w:t>
      </w:r>
      <w:r>
        <w:rPr>
          <w:rFonts w:hint="eastAsia" w:ascii="微软雅黑" w:hAnsi="微软雅黑" w:eastAsia="微软雅黑"/>
          <w:color w:val="000000"/>
          <w:sz w:val="18"/>
        </w:rPr>
        <w:t>各种溶剂型、弱溶剂型</w:t>
      </w:r>
      <w:r>
        <w:rPr>
          <w:rFonts w:hint="eastAsia" w:ascii="微软雅黑" w:hAnsi="微软雅黑" w:eastAsia="微软雅黑"/>
          <w:color w:val="000000"/>
          <w:sz w:val="18"/>
          <w:lang w:eastAsia="zh-CN"/>
        </w:rPr>
        <w:t>、</w:t>
      </w:r>
      <w:r>
        <w:rPr>
          <w:rFonts w:hint="eastAsia" w:ascii="微软雅黑" w:hAnsi="微软雅黑" w:eastAsia="微软雅黑"/>
          <w:color w:val="000000"/>
          <w:sz w:val="18"/>
          <w:lang w:val="en-US" w:eastAsia="zh-CN"/>
        </w:rPr>
        <w:t>HP Latex 、UV</w:t>
      </w:r>
      <w:r>
        <w:rPr>
          <w:rFonts w:hint="eastAsia" w:ascii="微软雅黑" w:hAnsi="微软雅黑" w:eastAsia="微软雅黑"/>
          <w:color w:val="000000"/>
          <w:sz w:val="18"/>
        </w:rPr>
        <w:t>墨水喷印方式</w:t>
      </w:r>
      <w:r>
        <w:rPr>
          <w:rFonts w:hint="eastAsia" w:ascii="微软雅黑" w:hAnsi="微软雅黑" w:eastAsia="微软雅黑"/>
          <w:sz w:val="18"/>
          <w:szCs w:val="18"/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C00000"/>
          <w:kern w:val="2"/>
        </w:rPr>
      </w:pPr>
      <w:r>
        <w:rPr>
          <w:rFonts w:hint="eastAsia" w:ascii="微软雅黑" w:hAnsi="微软雅黑" w:eastAsia="微软雅黑" w:cstheme="minorBidi"/>
          <w:b/>
          <w:color w:val="C00000"/>
          <w:kern w:val="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138430</wp:posOffset>
            </wp:positionV>
            <wp:extent cx="150495" cy="150495"/>
            <wp:effectExtent l="0" t="0" r="1905" b="1905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theme="minorBidi"/>
          <w:b/>
          <w:color w:val="C00000"/>
          <w:kern w:val="2"/>
        </w:rPr>
        <w:t xml:space="preserve">技术参数： </w:t>
      </w:r>
    </w:p>
    <w:p>
      <w:pPr>
        <w:tabs>
          <w:tab w:val="left" w:pos="9529"/>
          <w:tab w:val="left" w:pos="9792"/>
          <w:tab w:val="right" w:pos="10466"/>
        </w:tabs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ab/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ab/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ab/>
      </w:r>
    </w:p>
    <w:tbl>
      <w:tblPr>
        <w:tblStyle w:val="5"/>
        <w:tblW w:w="6771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single" w:color="000000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1"/>
        <w:gridCol w:w="1140"/>
        <w:gridCol w:w="2021"/>
        <w:gridCol w:w="1559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205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shd w:val="clear" w:color="auto" w:fill="auto"/>
          </w:tcPr>
          <w:p>
            <w:pPr>
              <w:ind w:firstLine="320"/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  <w:t>指标</w:t>
            </w:r>
          </w:p>
        </w:tc>
        <w:tc>
          <w:tcPr>
            <w:tcW w:w="114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  <w:t>单位</w:t>
            </w:r>
          </w:p>
        </w:tc>
        <w:tc>
          <w:tcPr>
            <w:tcW w:w="202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  <w:t>测试方法</w:t>
            </w:r>
          </w:p>
        </w:tc>
        <w:tc>
          <w:tcPr>
            <w:tcW w:w="155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  <w:t>标准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</w:trPr>
        <w:tc>
          <w:tcPr>
            <w:tcW w:w="2051" w:type="dxa"/>
            <w:shd w:val="clear" w:color="auto" w:fill="auto"/>
          </w:tcPr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PVC 膜厚度</w:t>
            </w:r>
          </w:p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hint="eastAsia" w:ascii="Tahoma" w:hAnsi="Tahoma" w:cs="Tahoma"/>
                <w:color w:val="000000"/>
                <w:sz w:val="16"/>
                <w:szCs w:val="18"/>
              </w:rPr>
              <w:t>底纸克重</w:t>
            </w:r>
          </w:p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成品重量</w:t>
            </w:r>
          </w:p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kern w:val="0"/>
                <w:sz w:val="16"/>
                <w:szCs w:val="18"/>
              </w:rPr>
              <w:t>24h，180°剥离力</w:t>
            </w:r>
          </w:p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尺寸稳定性MD</w:t>
            </w:r>
          </w:p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尺寸稳定性CD</w:t>
            </w:r>
          </w:p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拉伸强度 MD</w:t>
            </w:r>
          </w:p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拉伸强度 CD</w:t>
            </w:r>
          </w:p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施工温度</w:t>
            </w:r>
          </w:p>
          <w:p>
            <w:pPr>
              <w:rPr>
                <w:rFonts w:ascii="Tahoma" w:hAnsi="Tahoma" w:cs="Tahoma"/>
                <w:b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适用温度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ahoma" w:hAnsi="Tahoma" w:cs="Tahoma"/>
                <w:bCs/>
                <w:color w:val="000000"/>
                <w:sz w:val="16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</w:rPr>
              <w:t>Micron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6"/>
                <w:szCs w:val="18"/>
              </w:rPr>
              <w:t>℃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6"/>
                <w:szCs w:val="18"/>
              </w:rPr>
              <w:t>℃</w:t>
            </w:r>
          </w:p>
        </w:tc>
        <w:tc>
          <w:tcPr>
            <w:tcW w:w="2021" w:type="dxa"/>
            <w:shd w:val="clear" w:color="auto" w:fill="auto"/>
          </w:tcPr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GB/T6672-2001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GB4669-1995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GB4669-1995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FTM</w:t>
            </w:r>
            <w:r>
              <w:rPr>
                <w:rFonts w:hint="eastAsia" w:ascii="Tahoma" w:hAnsi="Tahoma" w:cs="Tahoma"/>
                <w:bCs/>
                <w:color w:val="000000"/>
                <w:sz w:val="16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1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FTM</w:t>
            </w:r>
            <w:r>
              <w:rPr>
                <w:rFonts w:hint="eastAsia" w:ascii="Tahoma" w:hAnsi="Tahoma" w:cs="Tahoma"/>
                <w:bCs/>
                <w:color w:val="000000"/>
                <w:sz w:val="16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14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FTM</w:t>
            </w:r>
            <w:r>
              <w:rPr>
                <w:rFonts w:hint="eastAsia" w:ascii="Tahoma" w:hAnsi="Tahoma" w:cs="Tahoma"/>
                <w:bCs/>
                <w:color w:val="000000"/>
                <w:sz w:val="16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 xml:space="preserve">14   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  <w:r>
              <w:rPr>
                <w:rFonts w:ascii="Tahoma" w:hAnsi="Tahoma" w:cs="Tahoma"/>
                <w:bCs/>
                <w:color w:val="00000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cs="Tahoma"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1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6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0±10</w:t>
            </w:r>
          </w:p>
          <w:p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hint="eastAsia" w:ascii="Tahoma" w:hAnsi="Tahoma" w:cs="Tahoma"/>
                <w:sz w:val="16"/>
                <w:szCs w:val="18"/>
              </w:rPr>
              <w:t>170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±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10</w:t>
            </w:r>
          </w:p>
          <w:p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Tahoma" w:hAnsi="Tahoma" w:cs="Tahoma"/>
                <w:bCs/>
                <w:sz w:val="16"/>
                <w:szCs w:val="18"/>
              </w:rPr>
              <w:t>3</w:t>
            </w:r>
            <w:r>
              <w:rPr>
                <w:rFonts w:hint="eastAsia" w:ascii="Tahoma" w:hAnsi="Tahoma" w:cs="Tahoma"/>
                <w:bCs/>
                <w:sz w:val="16"/>
                <w:szCs w:val="18"/>
                <w:lang w:val="en-US" w:eastAsia="zh-CN"/>
              </w:rPr>
              <w:t>50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±20</w:t>
            </w:r>
          </w:p>
          <w:p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≥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5</w:t>
            </w:r>
          </w:p>
          <w:p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≤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0.5</w:t>
            </w:r>
          </w:p>
          <w:p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≤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0.4</w:t>
            </w:r>
          </w:p>
          <w:p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≥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35</w:t>
            </w:r>
          </w:p>
          <w:p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≥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30</w:t>
            </w:r>
          </w:p>
          <w:p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Tahoma" w:hAnsi="Tahoma" w:cs="Tahoma"/>
                <w:bCs/>
                <w:sz w:val="16"/>
                <w:szCs w:val="18"/>
              </w:rPr>
              <w:t>20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±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0</w:t>
            </w:r>
          </w:p>
          <w:p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-20 ~ +70</w:t>
            </w:r>
          </w:p>
        </w:tc>
      </w:tr>
    </w:tbl>
    <w:p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*以上所有参数的变更恕不另行通知</w:t>
      </w:r>
    </w:p>
    <w:p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C00000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125095</wp:posOffset>
            </wp:positionV>
            <wp:extent cx="150495" cy="150495"/>
            <wp:effectExtent l="0" t="0" r="1905" b="1905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C00000"/>
          <w:sz w:val="24"/>
          <w:szCs w:val="24"/>
        </w:rPr>
        <w:t>仓储条件：</w:t>
      </w:r>
      <w:r>
        <w:rPr>
          <w:rFonts w:hint="eastAsia" w:ascii="微软雅黑" w:hAnsi="微软雅黑" w:eastAsia="微软雅黑"/>
          <w:b/>
          <w:color w:val="C00000"/>
        </w:rPr>
        <w:t xml:space="preserve">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所有</w:t>
      </w:r>
      <w:r>
        <w:rPr>
          <w:rFonts w:ascii="微软雅黑" w:hAnsi="微软雅黑" w:eastAsia="微软雅黑"/>
          <w:sz w:val="18"/>
          <w:szCs w:val="18"/>
        </w:rPr>
        <w:t>INFLEX</w:t>
      </w:r>
      <w:r>
        <w:rPr>
          <w:rFonts w:hint="eastAsia" w:ascii="微软雅黑" w:hAnsi="微软雅黑" w:eastAsia="微软雅黑"/>
          <w:sz w:val="18"/>
          <w:szCs w:val="18"/>
        </w:rPr>
        <w:t>的产品需储放在原始包装中用原始的保护材料，建议密封保存，水平放置，叠放层高不宜超过6层，避免阳光直射、热源直接接触。仓储温度</w:t>
      </w:r>
      <w:r>
        <w:rPr>
          <w:rFonts w:ascii="微软雅黑" w:hAnsi="微软雅黑" w:eastAsia="微软雅黑"/>
          <w:sz w:val="18"/>
          <w:szCs w:val="18"/>
        </w:rPr>
        <w:t>2</w:t>
      </w:r>
      <w:r>
        <w:rPr>
          <w:rFonts w:hint="eastAsia" w:ascii="微软雅黑" w:hAnsi="微软雅黑" w:eastAsia="微软雅黑"/>
          <w:sz w:val="18"/>
          <w:szCs w:val="18"/>
        </w:rPr>
        <w:t>5</w:t>
      </w:r>
      <w:r>
        <w:rPr>
          <w:rFonts w:ascii="微软雅黑" w:hAnsi="微软雅黑" w:eastAsia="微软雅黑"/>
          <w:sz w:val="18"/>
          <w:szCs w:val="18"/>
        </w:rPr>
        <w:t>±</w:t>
      </w:r>
      <w:r>
        <w:rPr>
          <w:rFonts w:hint="eastAsia" w:ascii="微软雅黑" w:hAnsi="微软雅黑" w:eastAsia="微软雅黑"/>
          <w:sz w:val="18"/>
          <w:szCs w:val="18"/>
        </w:rPr>
        <w:t>5℃、相对湿度50</w:t>
      </w:r>
      <w:r>
        <w:rPr>
          <w:rFonts w:ascii="微软雅黑" w:hAnsi="微软雅黑" w:eastAsia="微软雅黑"/>
          <w:sz w:val="18"/>
          <w:szCs w:val="18"/>
        </w:rPr>
        <w:t>±</w:t>
      </w:r>
      <w:r>
        <w:rPr>
          <w:rFonts w:hint="eastAsia" w:ascii="微软雅黑" w:hAnsi="微软雅黑" w:eastAsia="微软雅黑"/>
          <w:sz w:val="18"/>
          <w:szCs w:val="18"/>
        </w:rPr>
        <w:t>15%。在这种条件下，该产品储存期是12个月。</w:t>
      </w:r>
    </w:p>
    <w:p>
      <w:pPr>
        <w:pStyle w:val="11"/>
        <w:rPr>
          <w:rFonts w:ascii="微软雅黑" w:hAnsi="微软雅黑" w:eastAsia="微软雅黑" w:cstheme="minorBidi"/>
          <w:b/>
          <w:color w:val="C00000"/>
          <w:kern w:val="2"/>
        </w:rPr>
      </w:pPr>
      <w:r>
        <w:rPr>
          <w:rFonts w:hint="eastAsia" w:ascii="微软雅黑" w:hAnsi="微软雅黑" w:eastAsia="微软雅黑" w:cstheme="minorBidi"/>
          <w:b/>
          <w:color w:val="C00000"/>
          <w:kern w:val="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126365</wp:posOffset>
            </wp:positionV>
            <wp:extent cx="150495" cy="150495"/>
            <wp:effectExtent l="0" t="0" r="1905" b="1905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theme="minorBidi"/>
          <w:b/>
          <w:color w:val="C00000"/>
          <w:kern w:val="2"/>
        </w:rPr>
        <w:t xml:space="preserve">打印制作要求：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制作环境：</w:t>
      </w:r>
      <w:r>
        <w:rPr>
          <w:rFonts w:ascii="微软雅黑" w:hAnsi="微软雅黑" w:eastAsia="微软雅黑"/>
          <w:sz w:val="18"/>
          <w:szCs w:val="18"/>
        </w:rPr>
        <w:t>INFLEX</w:t>
      </w:r>
      <w:r>
        <w:rPr>
          <w:rFonts w:hint="eastAsia" w:ascii="微软雅黑" w:hAnsi="微软雅黑" w:eastAsia="微软雅黑"/>
          <w:sz w:val="18"/>
          <w:szCs w:val="18"/>
        </w:rPr>
        <w:t>产品建议在温度</w:t>
      </w:r>
      <w:r>
        <w:rPr>
          <w:rFonts w:ascii="微软雅黑" w:hAnsi="微软雅黑" w:eastAsia="微软雅黑"/>
          <w:sz w:val="18"/>
          <w:szCs w:val="18"/>
        </w:rPr>
        <w:t>2</w:t>
      </w:r>
      <w:r>
        <w:rPr>
          <w:rFonts w:hint="eastAsia" w:ascii="微软雅黑" w:hAnsi="微软雅黑" w:eastAsia="微软雅黑"/>
          <w:sz w:val="18"/>
          <w:szCs w:val="18"/>
        </w:rPr>
        <w:t>5</w:t>
      </w:r>
      <w:r>
        <w:rPr>
          <w:rFonts w:ascii="微软雅黑" w:hAnsi="微软雅黑" w:eastAsia="微软雅黑"/>
          <w:sz w:val="18"/>
          <w:szCs w:val="18"/>
        </w:rPr>
        <w:t>±</w:t>
      </w:r>
      <w:r>
        <w:rPr>
          <w:rFonts w:hint="eastAsia" w:ascii="微软雅黑" w:hAnsi="微软雅黑" w:eastAsia="微软雅黑"/>
          <w:sz w:val="18"/>
          <w:szCs w:val="18"/>
        </w:rPr>
        <w:t>5℃，相对湿度为50</w:t>
      </w:r>
      <w:r>
        <w:rPr>
          <w:rFonts w:ascii="微软雅黑" w:hAnsi="微软雅黑" w:eastAsia="微软雅黑"/>
          <w:sz w:val="18"/>
          <w:szCs w:val="18"/>
        </w:rPr>
        <w:t>±</w:t>
      </w:r>
      <w:r>
        <w:rPr>
          <w:rFonts w:hint="eastAsia" w:ascii="微软雅黑" w:hAnsi="微软雅黑" w:eastAsia="微软雅黑"/>
          <w:sz w:val="18"/>
          <w:szCs w:val="18"/>
        </w:rPr>
        <w:t>10%，洁净无尘、无悬浮物的环境下使用；建议产品需提前24h从仓储环境转移至喷绘环境；墨水因匹配的设备不同，所以使用前请先测试；建议喷绘时需要留足够白边空隙。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张贴要求：</w:t>
      </w:r>
      <w:r>
        <w:rPr>
          <w:rFonts w:ascii="微软雅黑" w:hAnsi="微软雅黑" w:eastAsia="微软雅黑"/>
          <w:sz w:val="18"/>
          <w:szCs w:val="18"/>
        </w:rPr>
        <w:t>2</w:t>
      </w:r>
      <w:r>
        <w:rPr>
          <w:rFonts w:hint="eastAsia" w:ascii="微软雅黑" w:hAnsi="微软雅黑" w:eastAsia="微软雅黑"/>
          <w:sz w:val="18"/>
          <w:szCs w:val="18"/>
        </w:rPr>
        <w:t>0</w:t>
      </w:r>
      <w:r>
        <w:rPr>
          <w:rFonts w:ascii="微软雅黑" w:hAnsi="微软雅黑" w:eastAsia="微软雅黑"/>
          <w:sz w:val="18"/>
          <w:szCs w:val="18"/>
        </w:rPr>
        <w:t>±</w:t>
      </w:r>
      <w:r>
        <w:rPr>
          <w:rFonts w:hint="eastAsia" w:ascii="微软雅黑" w:hAnsi="微软雅黑" w:eastAsia="微软雅黑"/>
          <w:sz w:val="18"/>
          <w:szCs w:val="18"/>
        </w:rPr>
        <w:t>10℃，相对湿度为50</w:t>
      </w:r>
      <w:r>
        <w:rPr>
          <w:rFonts w:ascii="微软雅黑" w:hAnsi="微软雅黑" w:eastAsia="微软雅黑"/>
          <w:sz w:val="18"/>
          <w:szCs w:val="18"/>
        </w:rPr>
        <w:t>±</w:t>
      </w:r>
      <w:r>
        <w:rPr>
          <w:rFonts w:hint="eastAsia" w:ascii="微软雅黑" w:hAnsi="微软雅黑" w:eastAsia="微软雅黑"/>
          <w:sz w:val="18"/>
          <w:szCs w:val="18"/>
        </w:rPr>
        <w:t>10%；粘贴于平整、光滑、洁净、表面无浮尘、表皮无脱落的物体表面，贴合必要养护时间需要2小时以上。</w:t>
      </w:r>
    </w:p>
    <w:p>
      <w:pPr>
        <w:pStyle w:val="11"/>
        <w:rPr>
          <w:rFonts w:ascii="微软雅黑" w:hAnsi="微软雅黑" w:eastAsia="微软雅黑" w:cstheme="minorBidi"/>
          <w:b/>
          <w:color w:val="C00000"/>
          <w:kern w:val="2"/>
        </w:rPr>
      </w:pPr>
      <w:r>
        <w:rPr>
          <w:rFonts w:hint="eastAsia" w:ascii="微软雅黑" w:hAnsi="微软雅黑" w:eastAsia="微软雅黑" w:cstheme="minorBidi"/>
          <w:b/>
          <w:color w:val="C00000"/>
          <w:kern w:val="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128905</wp:posOffset>
            </wp:positionV>
            <wp:extent cx="150495" cy="150495"/>
            <wp:effectExtent l="0" t="0" r="1905" b="1905"/>
            <wp:wrapSquare wrapText="bothSides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theme="minorBidi"/>
          <w:b/>
          <w:color w:val="C00000"/>
          <w:kern w:val="2"/>
        </w:rPr>
        <w:t xml:space="preserve">质保条件：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存储期：在原始的包装中储存期限为12个月；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使用期限：未打印画面，自产品生产日期起一年内有效，逾期不接受投诉。</w:t>
      </w:r>
    </w:p>
    <w:p>
      <w:pPr>
        <w:pStyle w:val="11"/>
        <w:rPr>
          <w:rFonts w:ascii="微软雅黑" w:hAnsi="微软雅黑" w:eastAsia="微软雅黑" w:cstheme="minorBidi"/>
          <w:b/>
          <w:color w:val="C00000"/>
          <w:kern w:val="2"/>
        </w:rPr>
      </w:pPr>
      <w:r>
        <w:rPr>
          <w:rFonts w:hint="eastAsia" w:ascii="微软雅黑" w:hAnsi="微软雅黑" w:eastAsia="微软雅黑" w:cstheme="minorBidi"/>
          <w:b/>
          <w:color w:val="C00000"/>
          <w:kern w:val="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131445</wp:posOffset>
            </wp:positionV>
            <wp:extent cx="150495" cy="150495"/>
            <wp:effectExtent l="0" t="0" r="1905" b="1905"/>
            <wp:wrapSquare wrapText="bothSides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theme="minorBidi"/>
          <w:b/>
          <w:color w:val="C00000"/>
          <w:kern w:val="2"/>
        </w:rPr>
        <w:t xml:space="preserve">重要备注：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INFLEX所有有关材料的说明、技术信息及应用推荐是基于我们认为可信的典型性测试结果，不同国家、地区环境湿度高于70%以上喷绘打印效果有所下降。</w:t>
      </w:r>
    </w:p>
    <w:p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120650</wp:posOffset>
            </wp:positionV>
            <wp:extent cx="150495" cy="150495"/>
            <wp:effectExtent l="0" t="0" r="1905" b="190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C00000"/>
          <w:sz w:val="24"/>
          <w:szCs w:val="24"/>
        </w:rPr>
        <w:t>产品应用：</w:t>
      </w:r>
    </w:p>
    <w:p>
      <w:pPr>
        <w:rPr>
          <w:rFonts w:ascii="微软雅黑" w:hAnsi="微软雅黑" w:eastAsia="微软雅黑" w:cs="宋体"/>
          <w:szCs w:val="21"/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※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 xml:space="preserve">      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6592570" cy="535940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5364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6745906" o:spid="_x0000_s2075" o:spt="75" type="#_x0000_t75" style="position:absolute;left:0pt;height:107.65pt;width:523.1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INFLEX-LOGO-01"/>
          <o:lock v:ext="edit" aspectratio="t"/>
        </v:shape>
      </w:pict>
    </w:r>
    <w:r>
      <w:rPr>
        <w:rFonts w:hint="eastAsia"/>
      </w:rPr>
      <w:t xml:space="preserve">  </w:t>
    </w:r>
    <w:r>
      <w:drawing>
        <wp:inline distT="0" distB="0" distL="0" distR="0">
          <wp:extent cx="6592570" cy="7874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792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6745905" o:spid="_x0000_s2074" o:spt="75" type="#_x0000_t75" style="position:absolute;left:0pt;height:107.65pt;width:523.1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INFLEX-LOGO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6745904" o:spid="_x0000_s2073" o:spt="75" type="#_x0000_t75" style="position:absolute;left:0pt;height:107.65pt;width:523.1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INFLEX-LOGO-01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ZTUwMmUwZmJjNDRjZTE4ZjUyNzc3NzViMGVlNzkifQ=="/>
  </w:docVars>
  <w:rsids>
    <w:rsidRoot w:val="00E861FB"/>
    <w:rsid w:val="00066D30"/>
    <w:rsid w:val="00093ADB"/>
    <w:rsid w:val="000A020F"/>
    <w:rsid w:val="000E3C3F"/>
    <w:rsid w:val="000F0436"/>
    <w:rsid w:val="00157367"/>
    <w:rsid w:val="00171EB9"/>
    <w:rsid w:val="0021323A"/>
    <w:rsid w:val="0021618D"/>
    <w:rsid w:val="002C1C01"/>
    <w:rsid w:val="00322832"/>
    <w:rsid w:val="00396D75"/>
    <w:rsid w:val="003E3B8F"/>
    <w:rsid w:val="003F4E6E"/>
    <w:rsid w:val="00466487"/>
    <w:rsid w:val="004870AC"/>
    <w:rsid w:val="0049577E"/>
    <w:rsid w:val="00513DB2"/>
    <w:rsid w:val="00544DF9"/>
    <w:rsid w:val="005F0BF2"/>
    <w:rsid w:val="006152F3"/>
    <w:rsid w:val="00621927"/>
    <w:rsid w:val="00797CAA"/>
    <w:rsid w:val="007F1C8F"/>
    <w:rsid w:val="007F6058"/>
    <w:rsid w:val="008201E7"/>
    <w:rsid w:val="00866513"/>
    <w:rsid w:val="00874D1B"/>
    <w:rsid w:val="008872C3"/>
    <w:rsid w:val="008B09D7"/>
    <w:rsid w:val="008E2276"/>
    <w:rsid w:val="00953E43"/>
    <w:rsid w:val="009C3ACD"/>
    <w:rsid w:val="009D5FAB"/>
    <w:rsid w:val="00AB1E91"/>
    <w:rsid w:val="00AB7425"/>
    <w:rsid w:val="00AF792A"/>
    <w:rsid w:val="00B02D39"/>
    <w:rsid w:val="00B85DDF"/>
    <w:rsid w:val="00B95857"/>
    <w:rsid w:val="00BA031A"/>
    <w:rsid w:val="00BB3F4F"/>
    <w:rsid w:val="00BD321A"/>
    <w:rsid w:val="00C10438"/>
    <w:rsid w:val="00C261BF"/>
    <w:rsid w:val="00C46C6B"/>
    <w:rsid w:val="00C46E52"/>
    <w:rsid w:val="00C73DE6"/>
    <w:rsid w:val="00CB3F6C"/>
    <w:rsid w:val="00D13ADC"/>
    <w:rsid w:val="00D55103"/>
    <w:rsid w:val="00D94068"/>
    <w:rsid w:val="00DD5808"/>
    <w:rsid w:val="00DE2647"/>
    <w:rsid w:val="00E0693A"/>
    <w:rsid w:val="00E657F7"/>
    <w:rsid w:val="00E67D0D"/>
    <w:rsid w:val="00E861FB"/>
    <w:rsid w:val="00EF6676"/>
    <w:rsid w:val="00F5329B"/>
    <w:rsid w:val="00F54953"/>
    <w:rsid w:val="00F92B70"/>
    <w:rsid w:val="00FD327B"/>
    <w:rsid w:val="18B06AC7"/>
    <w:rsid w:val="1C6A46F0"/>
    <w:rsid w:val="2DF7645F"/>
    <w:rsid w:val="57FE7D33"/>
    <w:rsid w:val="5AF366B2"/>
    <w:rsid w:val="6468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ascii="Times New Roman" w:hAnsi="Times New Roman" w:eastAsia="宋体" w:cs="Times New Roman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75"/>
    <customShpInfo spid="_x0000_s2074"/>
    <customShpInfo spid="_x0000_s2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08EB7C-07E6-4143-A097-7BE0723612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735</Words>
  <Characters>995</Characters>
  <Lines>7</Lines>
  <Paragraphs>2</Paragraphs>
  <TotalTime>4</TotalTime>
  <ScaleCrop>false</ScaleCrop>
  <LinksUpToDate>false</LinksUpToDate>
  <CharactersWithSpaces>1030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2018-10-16T05:45:00Z</dcterms:created>
  <dc:creator>Qin Yu-秦超(NAR)</dc:creator>
  <cp:lastModifiedBy>波波</cp:lastModifiedBy>
  <cp:lastPrinted>2018-08-20T01:40:00Z</cp:lastPrinted>
  <dcterms:modified xsi:type="dcterms:W3CDTF">2023-05-29T05:51:59Z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77E9A3186CF2409F8A6AE555E0E69F5E</vt:lpwstr>
  </property>
</Properties>
</file>