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CA950B">
      <w:pPr>
        <w:spacing w:line="180" w:lineRule="exact"/>
        <w:rPr>
          <w:rFonts w:ascii="Arial" w:hAnsi="Arial" w:cs="Arial"/>
          <w:b/>
          <w:color w:val="005BAC"/>
          <w:sz w:val="36"/>
          <w:szCs w:val="36"/>
        </w:rPr>
      </w:pPr>
      <w:bookmarkStart w:id="7" w:name="_GoBack"/>
      <w:bookmarkEnd w:id="7"/>
    </w:p>
    <w:p w14:paraId="2BC94621">
      <w:pPr>
        <w:spacing w:line="0" w:lineRule="atLeast"/>
        <w:rPr>
          <w:rFonts w:hint="default" w:ascii="Arial" w:hAnsi="Arial" w:cs="Arial" w:eastAsiaTheme="minorEastAsia"/>
          <w:b/>
          <w:color w:val="C9142A"/>
          <w:sz w:val="36"/>
          <w:szCs w:val="36"/>
          <w:lang w:val="en-US" w:eastAsia="zh-CN"/>
        </w:rPr>
      </w:pPr>
      <w:r>
        <w:rPr>
          <w:rFonts w:hint="eastAsia" w:ascii="Arial" w:hAnsi="Arial" w:cs="Arial"/>
          <w:b/>
          <w:color w:val="C9142A"/>
          <w:sz w:val="36"/>
          <w:szCs w:val="36"/>
        </w:rPr>
        <w:t>I</w:t>
      </w:r>
      <w:r>
        <w:rPr>
          <w:rFonts w:ascii="Arial" w:hAnsi="Arial" w:cs="Arial"/>
          <w:b/>
          <w:color w:val="C9142A"/>
          <w:sz w:val="36"/>
          <w:szCs w:val="36"/>
        </w:rPr>
        <w:t>V</w:t>
      </w:r>
      <w:r>
        <w:rPr>
          <w:rFonts w:hint="eastAsia" w:ascii="Arial" w:hAnsi="Arial" w:cs="Arial"/>
          <w:b/>
          <w:color w:val="C9142A"/>
          <w:sz w:val="36"/>
          <w:szCs w:val="36"/>
        </w:rPr>
        <w:t>2</w:t>
      </w:r>
      <w:r>
        <w:rPr>
          <w:rFonts w:hint="eastAsia" w:ascii="Arial" w:hAnsi="Arial" w:cs="Arial"/>
          <w:b/>
          <w:color w:val="C9142A"/>
          <w:sz w:val="36"/>
          <w:szCs w:val="36"/>
          <w:lang w:val="en-US" w:eastAsia="zh-CN"/>
        </w:rPr>
        <w:t>558W-A</w:t>
      </w:r>
    </w:p>
    <w:p w14:paraId="76FCB077">
      <w:pPr>
        <w:spacing w:line="320" w:lineRule="exact"/>
        <w:rPr>
          <w:rFonts w:hint="default" w:ascii="微软雅黑" w:hAnsi="微软雅黑" w:eastAsia="微软雅黑" w:cs="Arial"/>
          <w:b/>
          <w:color w:val="C9142A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Arial"/>
          <w:b/>
          <w:color w:val="C9142A"/>
          <w:sz w:val="24"/>
          <w:szCs w:val="24"/>
          <w:lang w:val="en-US" w:eastAsia="zh-CN"/>
        </w:rPr>
        <w:t>高显色无山水纹可移灰胶车身贴</w:t>
      </w:r>
    </w:p>
    <w:p w14:paraId="1E417340">
      <w:pPr>
        <w:spacing w:line="320" w:lineRule="exact"/>
        <w:rPr>
          <w:rFonts w:hint="eastAsia" w:ascii="Tahoma" w:hAnsi="Tahoma" w:cs="Tahoma"/>
          <w:szCs w:val="21"/>
        </w:rPr>
      </w:pPr>
    </w:p>
    <w:p w14:paraId="0D395F8D">
      <w:pPr>
        <w:pStyle w:val="11"/>
        <w:rPr>
          <w:rFonts w:ascii="微软雅黑" w:hAnsi="微软雅黑" w:eastAsia="微软雅黑" w:cstheme="minorBidi"/>
          <w:b/>
          <w:color w:val="C00000"/>
          <w:kern w:val="2"/>
        </w:rPr>
      </w:pPr>
      <w:r>
        <w:rPr>
          <w:rFonts w:hint="eastAsia" w:ascii="微软雅黑" w:hAnsi="微软雅黑" w:eastAsia="微软雅黑" w:cstheme="minorBidi"/>
          <w:b/>
          <w:color w:val="C00000"/>
          <w:kern w:val="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143510</wp:posOffset>
            </wp:positionV>
            <wp:extent cx="150495" cy="150495"/>
            <wp:effectExtent l="0" t="0" r="1905" b="1905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theme="minorBidi"/>
          <w:b/>
          <w:color w:val="C00000"/>
          <w:kern w:val="2"/>
        </w:rPr>
        <w:t>产品描述：</w:t>
      </w:r>
    </w:p>
    <w:p w14:paraId="3294DFD9">
      <w:pPr>
        <w:rPr>
          <w:rFonts w:ascii="微软雅黑" w:hAnsi="微软雅黑" w:eastAsia="微软雅黑"/>
          <w:sz w:val="18"/>
        </w:rPr>
      </w:pPr>
      <w:r>
        <w:rPr>
          <w:rFonts w:hint="eastAsia" w:ascii="微软雅黑" w:hAnsi="微软雅黑" w:eastAsia="微软雅黑"/>
          <w:sz w:val="18"/>
        </w:rPr>
        <w:t>面膜：</w:t>
      </w:r>
      <w:r>
        <w:rPr>
          <w:rFonts w:hint="eastAsia" w:ascii="微软雅黑" w:hAnsi="微软雅黑" w:eastAsia="微软雅黑"/>
          <w:sz w:val="18"/>
          <w:lang w:val="en-US" w:eastAsia="zh-CN"/>
        </w:rPr>
        <w:t>10</w:t>
      </w:r>
      <w:r>
        <w:rPr>
          <w:rFonts w:hint="eastAsia" w:ascii="微软雅黑" w:hAnsi="微软雅黑" w:eastAsia="微软雅黑"/>
          <w:sz w:val="18"/>
        </w:rPr>
        <w:t xml:space="preserve">0micron </w:t>
      </w:r>
      <w:r>
        <w:rPr>
          <w:rFonts w:hint="eastAsia" w:ascii="微软雅黑" w:hAnsi="微软雅黑" w:eastAsia="微软雅黑"/>
          <w:sz w:val="18"/>
          <w:szCs w:val="18"/>
          <w:lang w:val="en-US" w:eastAsia="zh-CN"/>
        </w:rPr>
        <w:t>无山水纹</w:t>
      </w:r>
      <w:r>
        <w:rPr>
          <w:rFonts w:hint="eastAsia" w:ascii="微软雅黑" w:hAnsi="微软雅黑" w:eastAsia="微软雅黑"/>
          <w:sz w:val="18"/>
          <w:szCs w:val="18"/>
        </w:rPr>
        <w:t>PVC</w:t>
      </w:r>
      <w:r>
        <w:rPr>
          <w:rFonts w:hint="eastAsia" w:ascii="微软雅黑" w:hAnsi="微软雅黑" w:eastAsia="微软雅黑"/>
          <w:sz w:val="18"/>
          <w:szCs w:val="18"/>
          <w:lang w:val="en-US" w:eastAsia="zh-CN"/>
        </w:rPr>
        <w:t>光膜</w:t>
      </w:r>
      <w:r>
        <w:rPr>
          <w:rFonts w:hint="eastAsia" w:ascii="微软雅黑" w:hAnsi="微软雅黑" w:eastAsia="微软雅黑"/>
          <w:sz w:val="18"/>
        </w:rPr>
        <w:t>；</w:t>
      </w:r>
    </w:p>
    <w:p w14:paraId="4813E31C">
      <w:pPr>
        <w:rPr>
          <w:rFonts w:ascii="微软雅黑" w:hAnsi="微软雅黑" w:eastAsia="微软雅黑"/>
          <w:sz w:val="18"/>
        </w:rPr>
      </w:pPr>
      <w:r>
        <w:rPr>
          <w:rFonts w:hint="eastAsia" w:ascii="微软雅黑" w:hAnsi="微软雅黑" w:eastAsia="微软雅黑"/>
          <w:sz w:val="18"/>
        </w:rPr>
        <w:t>胶水：</w:t>
      </w:r>
      <w:r>
        <w:rPr>
          <w:rFonts w:hint="eastAsia" w:ascii="微软雅黑" w:hAnsi="微软雅黑" w:eastAsia="微软雅黑"/>
          <w:color w:val="000000" w:themeColor="text1"/>
          <w:sz w:val="18"/>
          <w:lang w:val="en-US" w:eastAsia="zh-CN"/>
          <w14:textFill>
            <w14:solidFill>
              <w14:schemeClr w14:val="tx1"/>
            </w14:solidFill>
          </w14:textFill>
        </w:rPr>
        <w:t>可移灰</w:t>
      </w:r>
      <w:r>
        <w:rPr>
          <w:rFonts w:hint="eastAsia" w:ascii="微软雅黑" w:hAnsi="微软雅黑" w:eastAsia="微软雅黑"/>
          <w:color w:val="000000" w:themeColor="text1"/>
          <w:sz w:val="18"/>
          <w14:textFill>
            <w14:solidFill>
              <w14:schemeClr w14:val="tx1"/>
            </w14:solidFill>
          </w14:textFill>
        </w:rPr>
        <w:t>胶；</w:t>
      </w:r>
    </w:p>
    <w:p w14:paraId="373C6AA2">
      <w:pPr>
        <w:rPr>
          <w:rFonts w:ascii="微软雅黑" w:hAnsi="微软雅黑" w:eastAsia="微软雅黑"/>
          <w:sz w:val="18"/>
        </w:rPr>
      </w:pPr>
      <w:r>
        <w:rPr>
          <w:rFonts w:hint="eastAsia" w:ascii="微软雅黑" w:hAnsi="微软雅黑" w:eastAsia="微软雅黑"/>
          <w:sz w:val="18"/>
        </w:rPr>
        <w:t>底纸：140gsm单面PEK</w:t>
      </w:r>
      <w:r>
        <w:rPr>
          <w:rFonts w:hint="eastAsia" w:ascii="微软雅黑" w:hAnsi="微软雅黑" w:eastAsia="微软雅黑"/>
          <w:sz w:val="18"/>
          <w:lang w:val="en-US" w:eastAsia="zh-CN"/>
        </w:rPr>
        <w:t>白</w:t>
      </w:r>
      <w:r>
        <w:rPr>
          <w:rFonts w:hint="eastAsia" w:ascii="微软雅黑" w:hAnsi="微软雅黑" w:eastAsia="微软雅黑"/>
          <w:sz w:val="18"/>
        </w:rPr>
        <w:t>硅纸</w:t>
      </w:r>
    </w:p>
    <w:p w14:paraId="7C3C2344">
      <w:pPr>
        <w:rPr>
          <w:rFonts w:ascii="微软雅黑" w:hAnsi="微软雅黑" w:eastAsia="微软雅黑"/>
          <w:color w:val="000000" w:themeColor="text1"/>
          <w:sz w:val="20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sz w:val="18"/>
        </w:rPr>
        <w:t>宽幅：1.06/1.27/1.37/1.52m</w:t>
      </w:r>
    </w:p>
    <w:p w14:paraId="32036A66">
      <w:pPr>
        <w:pStyle w:val="11"/>
        <w:rPr>
          <w:rFonts w:ascii="微软雅黑" w:hAnsi="微软雅黑" w:eastAsia="微软雅黑" w:cstheme="minorBidi"/>
          <w:b/>
          <w:color w:val="C00000"/>
          <w:kern w:val="2"/>
        </w:rPr>
      </w:pPr>
      <w:r>
        <w:rPr>
          <w:rFonts w:hint="eastAsia" w:ascii="微软雅黑" w:hAnsi="微软雅黑" w:eastAsia="微软雅黑" w:cstheme="minorBidi"/>
          <w:b/>
          <w:color w:val="C00000"/>
          <w:kern w:val="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140335</wp:posOffset>
            </wp:positionV>
            <wp:extent cx="150495" cy="150495"/>
            <wp:effectExtent l="0" t="0" r="1905" b="1905"/>
            <wp:wrapSquare wrapText="bothSides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theme="minorBidi"/>
          <w:b/>
          <w:color w:val="C00000"/>
          <w:kern w:val="2"/>
        </w:rPr>
        <w:t xml:space="preserve">产品特点： </w:t>
      </w:r>
    </w:p>
    <w:p w14:paraId="18118454">
      <w:pPr>
        <w:autoSpaceDE w:val="0"/>
        <w:autoSpaceDN w:val="0"/>
        <w:adjustRightInd w:val="0"/>
        <w:jc w:val="left"/>
        <w:rPr>
          <w:rFonts w:ascii="微软雅黑" w:hAnsi="微软雅黑" w:eastAsia="微软雅黑" w:cs="Tahoma"/>
          <w:kern w:val="0"/>
          <w:sz w:val="18"/>
          <w:szCs w:val="16"/>
        </w:rPr>
      </w:pPr>
      <w:r>
        <w:rPr>
          <w:rFonts w:hint="eastAsia" w:ascii="微软雅黑" w:hAnsi="微软雅黑" w:eastAsia="微软雅黑" w:cs="Tahoma"/>
          <w:kern w:val="0"/>
          <w:sz w:val="18"/>
          <w:szCs w:val="16"/>
        </w:rPr>
        <w:t>1、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产品吸墨稳定，色彩亮丽，画面逼真</w:t>
      </w:r>
      <w:r>
        <w:rPr>
          <w:rFonts w:hint="eastAsia" w:ascii="微软雅黑" w:hAnsi="微软雅黑" w:eastAsia="微软雅黑" w:cs="Tahoma"/>
          <w:kern w:val="0"/>
          <w:sz w:val="18"/>
          <w:szCs w:val="16"/>
        </w:rPr>
        <w:t>；</w:t>
      </w:r>
    </w:p>
    <w:p w14:paraId="2C121B83">
      <w:pPr>
        <w:autoSpaceDE w:val="0"/>
        <w:autoSpaceDN w:val="0"/>
        <w:adjustRightInd w:val="0"/>
        <w:jc w:val="left"/>
        <w:rPr>
          <w:rFonts w:ascii="微软雅黑" w:hAnsi="微软雅黑" w:eastAsia="微软雅黑" w:cs="Tahoma"/>
          <w:kern w:val="0"/>
          <w:sz w:val="18"/>
          <w:szCs w:val="16"/>
        </w:rPr>
      </w:pPr>
      <w:bookmarkStart w:id="0" w:name="OLE_LINK1"/>
      <w:bookmarkStart w:id="1" w:name="OLE_LINK3"/>
      <w:bookmarkStart w:id="2" w:name="OLE_LINK5"/>
      <w:bookmarkStart w:id="3" w:name="OLE_LINK4"/>
      <w:bookmarkStart w:id="4" w:name="OLE_LINK2"/>
      <w:bookmarkStart w:id="5" w:name="OLE_LINK6"/>
      <w:r>
        <w:rPr>
          <w:rFonts w:hint="eastAsia" w:ascii="微软雅黑" w:hAnsi="微软雅黑" w:eastAsia="微软雅黑" w:cs="Tahoma"/>
          <w:kern w:val="0"/>
          <w:sz w:val="18"/>
          <w:szCs w:val="16"/>
        </w:rPr>
        <w:t>2、</w:t>
      </w:r>
      <w:bookmarkEnd w:id="0"/>
      <w:bookmarkEnd w:id="1"/>
      <w:bookmarkEnd w:id="2"/>
      <w:bookmarkEnd w:id="3"/>
      <w:bookmarkEnd w:id="4"/>
      <w:bookmarkEnd w:id="5"/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产品尺寸稳定性好，应用范围广泛</w:t>
      </w:r>
      <w:r>
        <w:rPr>
          <w:rFonts w:hint="eastAsia" w:ascii="微软雅黑" w:hAnsi="微软雅黑" w:eastAsia="微软雅黑" w:cs="Tahoma"/>
          <w:kern w:val="0"/>
          <w:sz w:val="18"/>
          <w:szCs w:val="16"/>
        </w:rPr>
        <w:t>；</w:t>
      </w:r>
    </w:p>
    <w:p w14:paraId="2701CFC9">
      <w:pPr>
        <w:autoSpaceDE w:val="0"/>
        <w:autoSpaceDN w:val="0"/>
        <w:adjustRightInd w:val="0"/>
        <w:jc w:val="left"/>
        <w:rPr>
          <w:rFonts w:ascii="微软雅黑" w:hAnsi="微软雅黑" w:eastAsia="微软雅黑" w:cs="Tahoma"/>
          <w:kern w:val="0"/>
          <w:sz w:val="18"/>
          <w:szCs w:val="16"/>
        </w:rPr>
      </w:pP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3、可移除胶水，可保一年期可移除，易于施工操作</w:t>
      </w:r>
      <w:r>
        <w:rPr>
          <w:rFonts w:hint="eastAsia" w:ascii="微软雅黑" w:hAnsi="微软雅黑" w:eastAsia="微软雅黑" w:cs="Tahoma"/>
          <w:kern w:val="0"/>
          <w:sz w:val="18"/>
          <w:szCs w:val="16"/>
        </w:rPr>
        <w:t>。</w:t>
      </w:r>
    </w:p>
    <w:p w14:paraId="330B264E">
      <w:pPr>
        <w:autoSpaceDE w:val="0"/>
        <w:autoSpaceDN w:val="0"/>
        <w:adjustRightInd w:val="0"/>
        <w:jc w:val="left"/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b/>
          <w:color w:val="C00000"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24130</wp:posOffset>
            </wp:positionH>
            <wp:positionV relativeFrom="paragraph">
              <wp:posOffset>151130</wp:posOffset>
            </wp:positionV>
            <wp:extent cx="150495" cy="150495"/>
            <wp:effectExtent l="0" t="0" r="1905" b="1905"/>
            <wp:wrapSquare wrapText="bothSides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b/>
          <w:color w:val="C00000"/>
          <w:sz w:val="24"/>
          <w:szCs w:val="24"/>
        </w:rPr>
        <w:t>产品应用：</w:t>
      </w:r>
      <w:r>
        <w:rPr>
          <w:rFonts w:hint="eastAsia" w:ascii="微软雅黑" w:hAnsi="微软雅黑" w:eastAsia="微软雅黑"/>
          <w:b/>
          <w:color w:val="C00000"/>
        </w:rPr>
        <w:t xml:space="preserve"> </w:t>
      </w:r>
    </w:p>
    <w:p w14:paraId="34B2E1FE">
      <w:pPr>
        <w:autoSpaceDE w:val="0"/>
        <w:autoSpaceDN w:val="0"/>
        <w:adjustRightInd w:val="0"/>
        <w:jc w:val="left"/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适用于车身广告及装饰、板材应用、室内及室外广告。</w:t>
      </w:r>
    </w:p>
    <w:p w14:paraId="1C3A5FD0">
      <w:pPr>
        <w:autoSpaceDE w:val="0"/>
        <w:autoSpaceDN w:val="0"/>
        <w:adjustRightInd w:val="0"/>
        <w:jc w:val="left"/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本产品适用于各种溶剂型、弱溶剂型和</w:t>
      </w: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UV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墨水喷印方式。</w:t>
      </w:r>
    </w:p>
    <w:p w14:paraId="0A38118E">
      <w:pPr>
        <w:pStyle w:val="11"/>
        <w:rPr>
          <w:rFonts w:ascii="微软雅黑" w:hAnsi="微软雅黑" w:eastAsia="微软雅黑" w:cstheme="minorBidi"/>
          <w:b/>
          <w:color w:val="C00000"/>
          <w:kern w:val="2"/>
        </w:rPr>
      </w:pPr>
      <w:r>
        <w:rPr>
          <w:rFonts w:hint="eastAsia" w:ascii="微软雅黑" w:hAnsi="微软雅黑" w:eastAsia="微软雅黑" w:cstheme="minorBidi"/>
          <w:b/>
          <w:color w:val="C00000"/>
          <w:kern w:val="2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138430</wp:posOffset>
            </wp:positionV>
            <wp:extent cx="150495" cy="150495"/>
            <wp:effectExtent l="0" t="0" r="1905" b="1905"/>
            <wp:wrapSquare wrapText="bothSides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theme="minorBidi"/>
          <w:b/>
          <w:color w:val="C00000"/>
          <w:kern w:val="2"/>
        </w:rPr>
        <w:t xml:space="preserve">技术参数： </w:t>
      </w:r>
    </w:p>
    <w:p w14:paraId="71C081A2">
      <w:pPr>
        <w:tabs>
          <w:tab w:val="left" w:pos="9529"/>
          <w:tab w:val="left" w:pos="9792"/>
          <w:tab w:val="right" w:pos="10466"/>
        </w:tabs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测试条件：室内温度</w:t>
      </w: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23±2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℃、相对湿度</w:t>
      </w: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50±5%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，以铝板、玻璃、钢板作为基材测试。</w:t>
      </w: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ab/>
      </w: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ab/>
      </w: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ab/>
      </w:r>
    </w:p>
    <w:tbl>
      <w:tblPr>
        <w:tblStyle w:val="10"/>
        <w:tblW w:w="6866" w:type="dxa"/>
        <w:tblInd w:w="0" w:type="dxa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9"/>
        <w:gridCol w:w="1157"/>
        <w:gridCol w:w="2050"/>
        <w:gridCol w:w="1580"/>
      </w:tblGrid>
      <w:tr w14:paraId="30FD7C70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" w:hRule="atLeast"/>
        </w:trPr>
        <w:tc>
          <w:tcPr>
            <w:tcW w:w="207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  <w:insideH w:val="single" w:sz="8" w:space="0"/>
              <w:insideV w:val="nil"/>
              <w:tl2br w:val="nil"/>
              <w:tr2bl w:val="nil"/>
            </w:tcBorders>
          </w:tcPr>
          <w:p w14:paraId="13E0FC1E">
            <w:pPr>
              <w:spacing w:before="0" w:beforeLines="0" w:beforeAutospacing="0" w:after="0" w:afterLines="0" w:afterAutospacing="0" w:line="240" w:lineRule="auto"/>
              <w:ind w:firstLine="320"/>
              <w:rPr>
                <w:rFonts w:ascii="Tahoma" w:hAnsi="Tahoma" w:eastAsia="宋体" w:cs="Tahoma"/>
                <w:b w:val="0"/>
                <w:bCs w:val="0"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/>
                <w:bCs/>
                <w:color w:val="000000"/>
                <w:kern w:val="0"/>
                <w:sz w:val="16"/>
                <w:szCs w:val="18"/>
              </w:rPr>
              <w:t>指标</w:t>
            </w:r>
          </w:p>
        </w:tc>
        <w:tc>
          <w:tcPr>
            <w:tcW w:w="1157" w:type="dxa"/>
            <w:tcBorders>
              <w:top w:val="single" w:color="000000" w:sz="8" w:space="0"/>
              <w:bottom w:val="single" w:color="000000" w:sz="8" w:space="0"/>
              <w:right w:val="nil"/>
              <w:insideH w:val="single" w:sz="8" w:space="0"/>
              <w:insideV w:val="nil"/>
              <w:tl2br w:val="nil"/>
              <w:tr2bl w:val="nil"/>
            </w:tcBorders>
          </w:tcPr>
          <w:p w14:paraId="1B1B8B70">
            <w:pPr>
              <w:spacing w:before="0" w:beforeLines="0" w:beforeAutospacing="0" w:after="0" w:afterLines="0" w:afterAutospacing="0" w:line="240" w:lineRule="auto"/>
              <w:rPr>
                <w:rFonts w:ascii="Tahoma" w:hAnsi="Tahoma" w:eastAsia="宋体" w:cs="Tahoma"/>
                <w:b w:val="0"/>
                <w:bCs w:val="0"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/>
                <w:bCs/>
                <w:color w:val="000000"/>
                <w:kern w:val="0"/>
                <w:sz w:val="16"/>
                <w:szCs w:val="18"/>
              </w:rPr>
              <w:t>单位</w:t>
            </w:r>
          </w:p>
        </w:tc>
        <w:tc>
          <w:tcPr>
            <w:tcW w:w="2050" w:type="dxa"/>
            <w:tcBorders>
              <w:top w:val="single" w:color="000000" w:sz="8" w:space="0"/>
              <w:bottom w:val="single" w:color="000000" w:sz="8" w:space="0"/>
              <w:right w:val="nil"/>
              <w:insideH w:val="single" w:sz="8" w:space="0"/>
              <w:insideV w:val="nil"/>
              <w:tl2br w:val="nil"/>
              <w:tr2bl w:val="nil"/>
            </w:tcBorders>
          </w:tcPr>
          <w:p w14:paraId="15C22C07">
            <w:pPr>
              <w:spacing w:before="0" w:beforeLines="0" w:beforeAutospacing="0" w:after="0" w:afterLines="0" w:afterAutospacing="0" w:line="240" w:lineRule="auto"/>
              <w:rPr>
                <w:rFonts w:ascii="Tahoma" w:hAnsi="Tahoma" w:eastAsia="宋体" w:cs="Tahoma"/>
                <w:b w:val="0"/>
                <w:bCs w:val="0"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/>
                <w:bCs/>
                <w:color w:val="000000"/>
                <w:kern w:val="0"/>
                <w:sz w:val="16"/>
                <w:szCs w:val="18"/>
              </w:rPr>
              <w:t>测试方法</w:t>
            </w:r>
          </w:p>
        </w:tc>
        <w:tc>
          <w:tcPr>
            <w:tcW w:w="1580" w:type="dxa"/>
            <w:tcBorders>
              <w:top w:val="single" w:color="000000" w:sz="8" w:space="0"/>
              <w:bottom w:val="single" w:color="000000" w:sz="8" w:space="0"/>
              <w:right w:val="nil"/>
              <w:insideH w:val="single" w:sz="8" w:space="0"/>
              <w:insideV w:val="nil"/>
              <w:tl2br w:val="nil"/>
              <w:tr2bl w:val="nil"/>
            </w:tcBorders>
          </w:tcPr>
          <w:p w14:paraId="7D67B07B">
            <w:pPr>
              <w:spacing w:before="0" w:beforeLines="0" w:beforeAutospacing="0" w:after="0" w:afterLines="0" w:afterAutospacing="0" w:line="240" w:lineRule="auto"/>
              <w:rPr>
                <w:rFonts w:ascii="Tahoma" w:hAnsi="Tahoma" w:eastAsia="宋体" w:cs="Tahoma"/>
                <w:b w:val="0"/>
                <w:bCs w:val="0"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/>
                <w:bCs/>
                <w:color w:val="000000"/>
                <w:kern w:val="0"/>
                <w:sz w:val="16"/>
                <w:szCs w:val="18"/>
              </w:rPr>
              <w:t>标准</w:t>
            </w:r>
          </w:p>
        </w:tc>
      </w:tr>
      <w:tr w14:paraId="5C426523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0" w:hRule="atLeast"/>
        </w:trPr>
        <w:tc>
          <w:tcPr>
            <w:tcW w:w="207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</w:tcPr>
          <w:p w14:paraId="375C8539">
            <w:pPr>
              <w:rPr>
                <w:rFonts w:ascii="Tahoma" w:hAnsi="Tahoma" w:eastAsia="宋体" w:cs="Tahoma"/>
                <w:b/>
                <w:bCs w:val="0"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  <w:t>PVC 膜厚度</w:t>
            </w:r>
          </w:p>
          <w:p w14:paraId="47D608EE">
            <w:pPr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hint="eastAsia"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  <w:t>底纸克重</w:t>
            </w:r>
          </w:p>
          <w:p w14:paraId="7A7D2CC3">
            <w:pPr>
              <w:rPr>
                <w:rFonts w:ascii="Tahoma" w:hAnsi="Tahoma" w:eastAsia="宋体" w:cs="Tahoma"/>
                <w:b/>
                <w:bCs w:val="0"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  <w:t>成品重量</w:t>
            </w:r>
          </w:p>
          <w:p w14:paraId="15157202">
            <w:pPr>
              <w:rPr>
                <w:rFonts w:ascii="Tahoma" w:hAnsi="Tahoma" w:eastAsia="宋体" w:cs="Tahoma"/>
                <w:b/>
                <w:bCs w:val="0"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  <w:t>光泽度 60°</w:t>
            </w:r>
          </w:p>
          <w:p w14:paraId="034E146D">
            <w:pPr>
              <w:rPr>
                <w:rFonts w:ascii="Tahoma" w:hAnsi="Tahoma" w:eastAsia="宋体" w:cs="Tahoma"/>
                <w:b/>
                <w:bCs w:val="0"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  <w:t>初粘力</w:t>
            </w:r>
          </w:p>
          <w:p w14:paraId="6C4718BE">
            <w:pPr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  <w:t>24h，180°剥离力</w:t>
            </w:r>
          </w:p>
          <w:p w14:paraId="421F7BE5">
            <w:pPr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  <w:t>尺寸稳定性MD</w:t>
            </w:r>
          </w:p>
          <w:p w14:paraId="03CAF468">
            <w:pPr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  <w:t>尺寸稳定性CD</w:t>
            </w:r>
          </w:p>
          <w:p w14:paraId="13DEC793">
            <w:pPr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  <w:t>拉伸强度 MD</w:t>
            </w:r>
          </w:p>
          <w:p w14:paraId="792D43F0">
            <w:pPr>
              <w:rPr>
                <w:rFonts w:ascii="Tahoma" w:hAnsi="Tahoma" w:eastAsia="宋体" w:cs="Tahoma"/>
                <w:b/>
                <w:bCs w:val="0"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  <w:t>拉伸强度 CD</w:t>
            </w:r>
          </w:p>
          <w:p w14:paraId="092D6F38">
            <w:pPr>
              <w:rPr>
                <w:rFonts w:ascii="Tahoma" w:hAnsi="Tahoma" w:eastAsia="宋体" w:cs="Tahoma"/>
                <w:b/>
                <w:bCs w:val="0"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  <w:t>施工温度</w:t>
            </w:r>
          </w:p>
          <w:p w14:paraId="4E2E0D4D">
            <w:pPr>
              <w:rPr>
                <w:rFonts w:ascii="Tahoma" w:hAnsi="Tahoma" w:eastAsia="宋体" w:cs="Tahoma"/>
                <w:b/>
                <w:bCs w:val="0"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  <w:t>适用温度</w:t>
            </w:r>
          </w:p>
        </w:tc>
        <w:tc>
          <w:tcPr>
            <w:tcW w:w="1157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</w:tcPr>
          <w:p w14:paraId="3098BD89"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M</w:t>
            </w:r>
            <w:r>
              <w:rPr>
                <w:rFonts w:hint="eastAsia"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icron</w:t>
            </w:r>
          </w:p>
          <w:p w14:paraId="6728E926"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g/m²</w:t>
            </w:r>
          </w:p>
          <w:p w14:paraId="1C6A990A"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g/m²</w:t>
            </w:r>
          </w:p>
          <w:p w14:paraId="3C0ED0FF"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%</w:t>
            </w:r>
          </w:p>
          <w:p w14:paraId="60D46C8C"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N/25mm</w:t>
            </w:r>
          </w:p>
          <w:p w14:paraId="46409CB2"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N/25mm</w:t>
            </w:r>
          </w:p>
          <w:p w14:paraId="5F3D7BDB"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mm</w:t>
            </w:r>
          </w:p>
          <w:p w14:paraId="2DCB16BF"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mm</w:t>
            </w:r>
          </w:p>
          <w:p w14:paraId="6881E720"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N/25 mm</w:t>
            </w:r>
          </w:p>
          <w:p w14:paraId="424908C0"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N/25 mm</w:t>
            </w:r>
          </w:p>
          <w:p w14:paraId="59CDD22F"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6"/>
                <w:szCs w:val="18"/>
              </w:rPr>
              <w:t>℃</w:t>
            </w:r>
          </w:p>
          <w:p w14:paraId="51C2018A"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6"/>
                <w:szCs w:val="18"/>
              </w:rPr>
              <w:t>℃</w:t>
            </w:r>
          </w:p>
        </w:tc>
        <w:tc>
          <w:tcPr>
            <w:tcW w:w="205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</w:tcPr>
          <w:p w14:paraId="7DD447C8"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GB/T6672-2001</w:t>
            </w:r>
          </w:p>
          <w:p w14:paraId="4698F240"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GB4669-1995</w:t>
            </w:r>
          </w:p>
          <w:p w14:paraId="4FD66E6B"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GB4669-1995</w:t>
            </w:r>
          </w:p>
          <w:p w14:paraId="35277575"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GB8807-88</w:t>
            </w:r>
          </w:p>
          <w:p w14:paraId="4132B4FA"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FTM</w:t>
            </w:r>
            <w:r>
              <w:rPr>
                <w:rFonts w:hint="eastAsia"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 xml:space="preserve"> </w:t>
            </w: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9</w:t>
            </w:r>
          </w:p>
          <w:p w14:paraId="72B74C09"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FTM</w:t>
            </w:r>
            <w:r>
              <w:rPr>
                <w:rFonts w:hint="eastAsia"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 xml:space="preserve"> </w:t>
            </w: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1</w:t>
            </w:r>
          </w:p>
          <w:p w14:paraId="049EBA4F"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FTM</w:t>
            </w:r>
            <w:r>
              <w:rPr>
                <w:rFonts w:hint="eastAsia"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 xml:space="preserve"> </w:t>
            </w: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14</w:t>
            </w:r>
          </w:p>
          <w:p w14:paraId="0B1CA16D"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FTM</w:t>
            </w:r>
            <w:r>
              <w:rPr>
                <w:rFonts w:hint="eastAsia"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 xml:space="preserve"> </w:t>
            </w: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 xml:space="preserve">14   </w:t>
            </w:r>
          </w:p>
          <w:p w14:paraId="01AC16AF"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GB/T1040.1-2006</w:t>
            </w:r>
          </w:p>
          <w:p w14:paraId="52337C05"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GB/T1040.1-2006</w:t>
            </w:r>
          </w:p>
          <w:p w14:paraId="129EDE9E"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</w:p>
        </w:tc>
        <w:tc>
          <w:tcPr>
            <w:tcW w:w="158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</w:tcPr>
          <w:p w14:paraId="2A3C917F">
            <w:pP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0±10</w:t>
            </w:r>
          </w:p>
          <w:p w14:paraId="7A34ABF9">
            <w:pPr>
              <w:rPr>
                <w:rFonts w:ascii="Tahoma" w:hAnsi="Tahoma" w:eastAsia="宋体" w:cs="Tahoma"/>
                <w:b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140</w:t>
            </w:r>
            <w: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±10</w:t>
            </w:r>
          </w:p>
          <w:p w14:paraId="67ABFC32">
            <w:pP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310</w:t>
            </w:r>
            <w: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±20</w:t>
            </w:r>
          </w:p>
          <w:p w14:paraId="26C1E83E">
            <w:pPr>
              <w:rPr>
                <w:rFonts w:hint="default"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eastAsia"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60</w:t>
            </w:r>
          </w:p>
          <w:p w14:paraId="4481A9D5">
            <w:pPr>
              <w:rPr>
                <w:rFonts w:hint="eastAsia"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eastAsia"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  <w:p w14:paraId="3484DFEC">
            <w:pPr>
              <w:rPr>
                <w:rFonts w:hint="eastAsia"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eastAsia"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  <w:p w14:paraId="471E2311">
            <w:pPr>
              <w:rPr>
                <w:rFonts w:hint="eastAsia" w:ascii="Tahoma" w:hAnsi="Tahoma" w:eastAsia="宋体" w:cs="Tahoma"/>
                <w:b/>
                <w:color w:val="000000" w:themeColor="text1"/>
                <w:kern w:val="0"/>
                <w:sz w:val="16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≤1.</w:t>
            </w:r>
            <w:r>
              <w:rPr>
                <w:rFonts w:hint="eastAsia"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  <w:p w14:paraId="09FA4242">
            <w:pPr>
              <w:rPr>
                <w:rFonts w:hint="eastAsia" w:ascii="Tahoma" w:hAnsi="Tahoma" w:eastAsia="宋体" w:cs="Tahoma"/>
                <w:b/>
                <w:color w:val="000000" w:themeColor="text1"/>
                <w:kern w:val="0"/>
                <w:sz w:val="16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≤</w:t>
            </w:r>
            <w:r>
              <w:rPr>
                <w:rFonts w:hint="eastAsia"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  <w:p w14:paraId="3F70E74B">
            <w:pPr>
              <w:rPr>
                <w:rFonts w:ascii="Tahoma" w:hAnsi="Tahoma" w:eastAsia="宋体" w:cs="Tahoma"/>
                <w:b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eastAsia"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  <w:p w14:paraId="7760B216">
            <w:pP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eastAsia"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  <w:p w14:paraId="508FA856">
            <w:pP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Calibri"/>
                <w:color w:val="000000" w:themeColor="text1"/>
                <w:kern w:val="0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宋体" w:cs="Calibri"/>
                <w:color w:val="000000" w:themeColor="text1"/>
                <w:kern w:val="0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宋体" w:cs="Calibri"/>
                <w:color w:val="000000" w:themeColor="text1"/>
                <w:kern w:val="0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Times New Roman" w:hAnsi="Times New Roman" w:eastAsia="宋体" w:cs="Calibri"/>
                <w:color w:val="000000" w:themeColor="text1"/>
                <w:kern w:val="0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  <w:t>℃</w:t>
            </w:r>
          </w:p>
          <w:p w14:paraId="18FB571C"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-20～+70</w:t>
            </w:r>
          </w:p>
        </w:tc>
      </w:tr>
    </w:tbl>
    <w:p w14:paraId="2D1CC015">
      <w:pPr>
        <w:tabs>
          <w:tab w:val="center" w:pos="1301"/>
        </w:tabs>
        <w:rPr>
          <w:b/>
          <w:color w:val="000000" w:themeColor="text1"/>
          <w:sz w:val="16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:sz w:val="16"/>
          <w14:textFill>
            <w14:solidFill>
              <w14:schemeClr w14:val="tx1"/>
            </w14:solidFill>
          </w14:textFill>
        </w:rPr>
        <w:t>*以上所有参数的变更恕不另行通知</w:t>
      </w:r>
    </w:p>
    <w:p w14:paraId="57CCAC14">
      <w:pPr>
        <w:tabs>
          <w:tab w:val="center" w:pos="1301"/>
        </w:tabs>
        <w:rPr>
          <w:b/>
          <w:color w:val="000000" w:themeColor="text1"/>
          <w:sz w:val="16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b/>
          <w:color w:val="C00000"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6985</wp:posOffset>
            </wp:positionH>
            <wp:positionV relativeFrom="paragraph">
              <wp:posOffset>125095</wp:posOffset>
            </wp:positionV>
            <wp:extent cx="150495" cy="150495"/>
            <wp:effectExtent l="0" t="0" r="1905" b="1905"/>
            <wp:wrapSquare wrapText="bothSides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b/>
          <w:color w:val="C00000"/>
          <w:sz w:val="24"/>
          <w:szCs w:val="24"/>
        </w:rPr>
        <w:t>仓储条件：</w:t>
      </w:r>
      <w:r>
        <w:rPr>
          <w:rFonts w:hint="eastAsia" w:ascii="微软雅黑" w:hAnsi="微软雅黑" w:eastAsia="微软雅黑"/>
          <w:b/>
          <w:color w:val="C00000"/>
        </w:rPr>
        <w:t xml:space="preserve"> </w:t>
      </w:r>
    </w:p>
    <w:p w14:paraId="2A6C178C">
      <w:pP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所有</w:t>
      </w:r>
      <w:r>
        <w:rPr>
          <w:rFonts w:hint="eastAsia" w:ascii="微软雅黑" w:hAnsi="微软雅黑" w:eastAsia="微软雅黑" w:cstheme="minorHAnsi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INFLEX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的产品需储放在原始包装中用原始的保护材料，建议密封保存，水平放置，叠放层高不宜超过</w:t>
      </w: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层，避免阳光直射、热源直接接触。仓储温度</w:t>
      </w:r>
      <w:r>
        <w:rPr>
          <w:rFonts w:ascii="微软雅黑" w:hAnsi="微软雅黑" w:eastAsia="微软雅黑" w:cs="Calibri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25±5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℃、相对湿度</w:t>
      </w:r>
      <w:r>
        <w:rPr>
          <w:rFonts w:ascii="微软雅黑" w:hAnsi="微软雅黑" w:eastAsia="微软雅黑" w:cs="Calibri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50±15</w:t>
      </w: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%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。在这种条件下，该产品储存期是12个月。</w:t>
      </w:r>
    </w:p>
    <w:p w14:paraId="6955D80C">
      <w:pP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 w14:paraId="4A7D6D1F">
      <w:pP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 w14:paraId="3FBC6A6E">
      <w:pPr>
        <w:pStyle w:val="11"/>
        <w:rPr>
          <w:rFonts w:ascii="微软雅黑" w:hAnsi="微软雅黑" w:eastAsia="微软雅黑" w:cstheme="minorBidi"/>
          <w:b/>
          <w:color w:val="C00000"/>
          <w:kern w:val="2"/>
        </w:rPr>
      </w:pPr>
      <w:r>
        <w:rPr>
          <w:rFonts w:hint="eastAsia" w:ascii="微软雅黑" w:hAnsi="微软雅黑" w:eastAsia="微软雅黑" w:cstheme="minorBidi"/>
          <w:b/>
          <w:color w:val="C00000"/>
          <w:kern w:val="2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126365</wp:posOffset>
            </wp:positionV>
            <wp:extent cx="150495" cy="150495"/>
            <wp:effectExtent l="0" t="0" r="1905" b="1905"/>
            <wp:wrapSquare wrapText="bothSides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theme="minorBidi"/>
          <w:b/>
          <w:color w:val="C00000"/>
          <w:kern w:val="2"/>
        </w:rPr>
        <w:t xml:space="preserve">打印制作要求： </w:t>
      </w:r>
    </w:p>
    <w:p w14:paraId="253C6363">
      <w:pPr>
        <w:pStyle w:val="11"/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制作环境：</w:t>
      </w:r>
      <w:r>
        <w:rPr>
          <w:rFonts w:hint="eastAsia" w:ascii="微软雅黑" w:hAnsi="微软雅黑" w:eastAsia="微软雅黑" w:cstheme="minorHAnsi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INFLEX 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产品建议在温度</w:t>
      </w:r>
      <w:r>
        <w:rPr>
          <w:rFonts w:ascii="微软雅黑" w:hAnsi="微软雅黑" w:eastAsia="微软雅黑" w:cs="Calibri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25±5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℃，相对湿度为</w:t>
      </w:r>
      <w:r>
        <w:rPr>
          <w:rFonts w:ascii="微软雅黑" w:hAnsi="微软雅黑" w:eastAsia="微软雅黑" w:cs="Calibri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50±10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%，洁净无尘、无悬浮物的环境下使用；建议产品需提前24h从仓储环境转移至喷绘环境。墨水因匹配的设备不同，所以使用前请先测试；建议喷绘时需要留足够白边空隙。</w:t>
      </w:r>
    </w:p>
    <w:p w14:paraId="2ABB662A">
      <w:pP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张贴要求：</w:t>
      </w:r>
      <w:r>
        <w:rPr>
          <w:rFonts w:ascii="微软雅黑" w:hAnsi="微软雅黑" w:eastAsia="微软雅黑" w:cs="Calibri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20±10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℃，相对湿度为</w:t>
      </w:r>
      <w:r>
        <w:rPr>
          <w:rFonts w:ascii="微软雅黑" w:hAnsi="微软雅黑" w:eastAsia="微软雅黑" w:cs="Calibri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50±10</w:t>
      </w: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%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；粘贴于平整、光滑、洁净、表面无浮尘、表皮无脱落的物体表面，贴合必要养护时间需要</w:t>
      </w: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小时以上。</w:t>
      </w:r>
    </w:p>
    <w:p w14:paraId="0E00A3A4">
      <w:pPr>
        <w:pStyle w:val="11"/>
        <w:rPr>
          <w:rFonts w:ascii="微软雅黑" w:hAnsi="微软雅黑" w:eastAsia="微软雅黑" w:cstheme="minorBidi"/>
          <w:b/>
          <w:color w:val="C00000"/>
          <w:kern w:val="2"/>
        </w:rPr>
      </w:pPr>
      <w:r>
        <w:rPr>
          <w:rFonts w:hint="eastAsia" w:ascii="微软雅黑" w:hAnsi="微软雅黑" w:eastAsia="微软雅黑" w:cstheme="minorBidi"/>
          <w:b/>
          <w:color w:val="C00000"/>
          <w:kern w:val="2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128905</wp:posOffset>
            </wp:positionV>
            <wp:extent cx="150495" cy="150495"/>
            <wp:effectExtent l="0" t="0" r="1905" b="1905"/>
            <wp:wrapSquare wrapText="bothSides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theme="minorBidi"/>
          <w:b/>
          <w:color w:val="C00000"/>
          <w:kern w:val="2"/>
        </w:rPr>
        <w:t xml:space="preserve">质保条件： </w:t>
      </w:r>
    </w:p>
    <w:p w14:paraId="6436EF8A">
      <w:pP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保质期为一年：</w:t>
      </w:r>
      <w:r>
        <w:rPr>
          <w:rFonts w:hint="eastAsia" w:ascii="微软雅黑" w:hAnsi="微软雅黑" w:eastAsia="微软雅黑"/>
          <w:color w:val="000000" w:themeColor="text1"/>
          <w:kern w:val="0"/>
          <w:sz w:val="18"/>
          <w:szCs w:val="18"/>
          <w14:textFill>
            <w14:solidFill>
              <w14:schemeClr w14:val="tx1"/>
            </w14:solidFill>
          </w14:textFill>
        </w:rPr>
        <w:t>车身贴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产品需满足仓储条件，半年内使用最佳；</w:t>
      </w:r>
    </w:p>
    <w:p w14:paraId="1627B283">
      <w:pP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使用期限：自产品生产之日起一年内，逾期不接受投诉。</w:t>
      </w:r>
    </w:p>
    <w:p w14:paraId="174C419E">
      <w:pPr>
        <w:pStyle w:val="11"/>
        <w:rPr>
          <w:rFonts w:ascii="微软雅黑" w:hAnsi="微软雅黑" w:eastAsia="微软雅黑" w:cstheme="minorBidi"/>
          <w:b/>
          <w:color w:val="C00000"/>
          <w:kern w:val="2"/>
        </w:rPr>
      </w:pPr>
      <w:r>
        <w:rPr>
          <w:rFonts w:hint="eastAsia" w:ascii="微软雅黑" w:hAnsi="微软雅黑" w:eastAsia="微软雅黑" w:cstheme="minorBidi"/>
          <w:b/>
          <w:color w:val="C00000"/>
          <w:kern w:val="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131445</wp:posOffset>
            </wp:positionV>
            <wp:extent cx="150495" cy="150495"/>
            <wp:effectExtent l="0" t="0" r="1905" b="1905"/>
            <wp:wrapSquare wrapText="bothSides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theme="minorBidi"/>
          <w:b/>
          <w:color w:val="C00000"/>
          <w:kern w:val="2"/>
        </w:rPr>
        <w:t xml:space="preserve">重要备注： </w:t>
      </w:r>
    </w:p>
    <w:p w14:paraId="413DF88A">
      <w:pP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INFLEX所有有关材料的说明、技术信息及应用推荐是基于我们认为可信的典型性测试结果，</w:t>
      </w:r>
      <w:bookmarkStart w:id="6" w:name="OLE_LINK14"/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不同国家、地区环境湿度高于</w:t>
      </w: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70%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以上喷绘打印效果有所下降。</w:t>
      </w:r>
      <w:bookmarkEnd w:id="6"/>
    </w:p>
    <w:p w14:paraId="0318A552">
      <w:pPr>
        <w:autoSpaceDE w:val="0"/>
        <w:autoSpaceDN w:val="0"/>
        <w:jc w:val="left"/>
        <w:rPr>
          <w:rFonts w:ascii="宋体" w:hAnsi="宋体" w:cs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sz w:val="18"/>
          <w:szCs w:val="18"/>
        </w:rPr>
        <w:t>本产品为可移除胶产品，针对漆板或光滑的背贴物，可保证一年期的可移除性能。不同批次产品不建议拼接</w:t>
      </w:r>
      <w:r>
        <w:rPr>
          <w:rFonts w:hint="eastAsia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。</w:t>
      </w:r>
    </w:p>
    <w:p w14:paraId="102B3F01">
      <w:pPr>
        <w:rPr>
          <w:rFonts w:ascii="微软雅黑" w:hAnsi="微软雅黑" w:eastAsia="微软雅黑"/>
          <w:b/>
          <w:color w:val="C00000"/>
          <w:sz w:val="24"/>
          <w:szCs w:val="24"/>
        </w:rPr>
      </w:pPr>
      <w:r>
        <w:rPr>
          <w:rFonts w:hint="eastAsia" w:ascii="微软雅黑" w:hAnsi="微软雅黑" w:eastAsia="微软雅黑"/>
          <w:b/>
          <w:color w:val="C00000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29845</wp:posOffset>
            </wp:positionH>
            <wp:positionV relativeFrom="paragraph">
              <wp:posOffset>120650</wp:posOffset>
            </wp:positionV>
            <wp:extent cx="150495" cy="150495"/>
            <wp:effectExtent l="0" t="0" r="1905" b="1905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b/>
          <w:color w:val="C00000"/>
          <w:sz w:val="24"/>
          <w:szCs w:val="24"/>
        </w:rPr>
        <w:t>产品应用：</w:t>
      </w:r>
    </w:p>
    <w:p w14:paraId="41F0217E">
      <w:pPr>
        <w:rPr>
          <w:rFonts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 w14:paraId="0E7A228F">
      <w:pPr>
        <w:rPr>
          <w:rFonts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 w14:paraId="31A56EDC">
      <w:pPr>
        <w:rPr>
          <w:rFonts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6645910" cy="4985385"/>
            <wp:effectExtent l="0" t="0" r="2540" b="5715"/>
            <wp:docPr id="5" name="图片 5" descr="C:\Users\N2098\Desktop\白皮书应用图片 - 副本\室内室外广告应用\高档\IV200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N2098\Desktop\白皮书应用图片 - 副本\室内室外广告应用\高档\IV2000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85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0F049F">
    <w:pPr>
      <w:pStyle w:val="3"/>
    </w:pPr>
    <w:r>
      <w:drawing>
        <wp:inline distT="0" distB="0" distL="0" distR="0">
          <wp:extent cx="6575425" cy="429260"/>
          <wp:effectExtent l="0" t="0" r="0" b="8890"/>
          <wp:docPr id="2" name="图片 2" descr="C:\Users\N2098\Desktop\4e682e7c5336c4ccabb588c6d73406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C:\Users\N2098\Desktop\4e682e7c5336c4ccabb588c6d73406f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75425" cy="429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676C54">
    <w:pPr>
      <w:pStyle w:val="4"/>
    </w:pPr>
    <w:r>
      <w:pict>
        <v:shape id="WordPictureWatermark6745906" o:spid="_x0000_s2075" o:spt="75" type="#_x0000_t75" style="position:absolute;left:0pt;height:107.65pt;width:523.15pt;mso-position-horizontal:center;mso-position-horizontal-relative:margin;mso-position-vertical:center;mso-position-vertical-relative:margin;z-index:-251655168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INFLEX-LOGO-01"/>
          <o:lock v:ext="edit" aspectratio="t"/>
        </v:shape>
      </w:pict>
    </w:r>
    <w:r>
      <w:rPr>
        <w:rFonts w:hint="eastAsia"/>
      </w:rPr>
      <w:t xml:space="preserve">  </w:t>
    </w:r>
    <w:r>
      <w:drawing>
        <wp:inline distT="0" distB="0" distL="0" distR="0">
          <wp:extent cx="6592570" cy="78740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92837" cy="792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6ED645">
    <w:pPr>
      <w:pStyle w:val="4"/>
    </w:pPr>
    <w:r>
      <w:pict>
        <v:shape id="WordPictureWatermark6745905" o:spid="_x0000_s2074" o:spt="75" type="#_x0000_t75" style="position:absolute;left:0pt;height:107.65pt;width:523.15pt;mso-position-horizontal:center;mso-position-horizontal-relative:margin;mso-position-vertical:center;mso-position-vertical-relative:margin;z-index:-251656192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INFLEX-LOGO-01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16AF38">
    <w:pPr>
      <w:pStyle w:val="4"/>
    </w:pPr>
    <w:r>
      <w:pict>
        <v:shape id="WordPictureWatermark6745904" o:spid="_x0000_s2073" o:spt="75" type="#_x0000_t75" style="position:absolute;left:0pt;height:107.65pt;width:523.15pt;mso-position-horizontal:center;mso-position-horizontal-relative:margin;mso-position-vertical:center;mso-position-vertical-relative:margin;z-index:-25165721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INFLEX-LOGO-01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RjZTUwMmUwZmJjNDRjZTE4ZjUyNzc3NzViMGVlNzkifQ=="/>
  </w:docVars>
  <w:rsids>
    <w:rsidRoot w:val="00E861FB"/>
    <w:rsid w:val="000017CA"/>
    <w:rsid w:val="00086ED7"/>
    <w:rsid w:val="000E2AA6"/>
    <w:rsid w:val="000E3C3F"/>
    <w:rsid w:val="000F0436"/>
    <w:rsid w:val="0011184F"/>
    <w:rsid w:val="00157367"/>
    <w:rsid w:val="00171EB9"/>
    <w:rsid w:val="00190B31"/>
    <w:rsid w:val="0021323A"/>
    <w:rsid w:val="00322832"/>
    <w:rsid w:val="00396D75"/>
    <w:rsid w:val="003A20C0"/>
    <w:rsid w:val="003A4E31"/>
    <w:rsid w:val="003E3B8F"/>
    <w:rsid w:val="00466487"/>
    <w:rsid w:val="00470DA9"/>
    <w:rsid w:val="004A16C2"/>
    <w:rsid w:val="00513DB2"/>
    <w:rsid w:val="005D09AA"/>
    <w:rsid w:val="005F0BF2"/>
    <w:rsid w:val="00606373"/>
    <w:rsid w:val="006113DB"/>
    <w:rsid w:val="00621927"/>
    <w:rsid w:val="006F5DCE"/>
    <w:rsid w:val="007763FD"/>
    <w:rsid w:val="007E72E9"/>
    <w:rsid w:val="007F1C8F"/>
    <w:rsid w:val="007F6058"/>
    <w:rsid w:val="00816DD7"/>
    <w:rsid w:val="008201E7"/>
    <w:rsid w:val="008872C3"/>
    <w:rsid w:val="008A5C0F"/>
    <w:rsid w:val="008B09D7"/>
    <w:rsid w:val="008C011F"/>
    <w:rsid w:val="008C5602"/>
    <w:rsid w:val="008E2276"/>
    <w:rsid w:val="00947073"/>
    <w:rsid w:val="00953E43"/>
    <w:rsid w:val="00AB1E91"/>
    <w:rsid w:val="00AB7425"/>
    <w:rsid w:val="00AF792A"/>
    <w:rsid w:val="00B02D39"/>
    <w:rsid w:val="00B30435"/>
    <w:rsid w:val="00B64846"/>
    <w:rsid w:val="00B664E2"/>
    <w:rsid w:val="00B85DDF"/>
    <w:rsid w:val="00BD321A"/>
    <w:rsid w:val="00BF01FE"/>
    <w:rsid w:val="00C261BF"/>
    <w:rsid w:val="00C41B8F"/>
    <w:rsid w:val="00C46C6B"/>
    <w:rsid w:val="00C46E52"/>
    <w:rsid w:val="00CB3F6C"/>
    <w:rsid w:val="00D05D15"/>
    <w:rsid w:val="00D13ADC"/>
    <w:rsid w:val="00D806DF"/>
    <w:rsid w:val="00DD5808"/>
    <w:rsid w:val="00E07306"/>
    <w:rsid w:val="00E61E9A"/>
    <w:rsid w:val="00E67D0D"/>
    <w:rsid w:val="00E861FB"/>
    <w:rsid w:val="00EC5463"/>
    <w:rsid w:val="00ED1022"/>
    <w:rsid w:val="00EF627B"/>
    <w:rsid w:val="00EF6676"/>
    <w:rsid w:val="00F016AF"/>
    <w:rsid w:val="00F50525"/>
    <w:rsid w:val="00F5329B"/>
    <w:rsid w:val="00F92AFA"/>
    <w:rsid w:val="00F92B70"/>
    <w:rsid w:val="00FC01DB"/>
    <w:rsid w:val="00FC496A"/>
    <w:rsid w:val="00FD327B"/>
    <w:rsid w:val="0FFD791B"/>
    <w:rsid w:val="31CA457B"/>
    <w:rsid w:val="64F71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sz w:val="18"/>
      <w:szCs w:val="18"/>
    </w:rPr>
  </w:style>
  <w:style w:type="table" w:customStyle="1" w:styleId="10">
    <w:name w:val="浅色底纹1"/>
    <w:basedOn w:val="5"/>
    <w:qFormat/>
    <w:uiPriority w:val="60"/>
    <w:rPr>
      <w:rFonts w:ascii="Times New Roman" w:hAnsi="Times New Roman" w:eastAsia="宋体" w:cs="Times New Roman"/>
      <w:color w:val="000000"/>
      <w:kern w:val="0"/>
      <w:sz w:val="20"/>
      <w:szCs w:val="20"/>
    </w:rPr>
    <w:tblPr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0" w:beforeLines="0" w:beforeAutospacing="0" w:after="0" w:afterLines="0" w:afterAutospacing="0" w:line="240" w:lineRule="auto"/>
      </w:pPr>
      <w:rPr>
        <w:b/>
        <w:bCs/>
      </w:rPr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b/>
        <w:bCs/>
      </w:rPr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</w:style>
  <w:style w:type="paragraph" w:customStyle="1" w:styleId="11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75"/>
    <customShpInfo spid="_x0000_s2074"/>
    <customShpInfo spid="_x0000_s2073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67669FA-CE64-4BCA-ACD6-DB91F300BF8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794</Words>
  <Characters>1034</Characters>
  <Lines>8</Lines>
  <Paragraphs>2</Paragraphs>
  <TotalTime>2</TotalTime>
  <ScaleCrop>false</ScaleCrop>
  <LinksUpToDate>false</LinksUpToDate>
  <CharactersWithSpaces>1059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2018-10-16T03:26:00Z</dcterms:created>
  <dc:creator>Qin Yu-秦超(NAR)</dc:creator>
  <cp:lastModifiedBy>006152</cp:lastModifiedBy>
  <cp:lastPrinted>2018-08-20T01:40:00Z</cp:lastPrinted>
  <dcterms:modified xsi:type="dcterms:W3CDTF">2025-07-04T07:37:10Z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26ABD9EEF2704F9BB33F46C5EF108719_13</vt:lpwstr>
  </property>
</Properties>
</file>