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289ECF">
      <w:pPr>
        <w:spacing w:line="180" w:lineRule="exact"/>
        <w:rPr>
          <w:rFonts w:ascii="Arial" w:hAnsi="Arial" w:cs="Arial"/>
          <w:b/>
          <w:color w:val="005BAC"/>
          <w:sz w:val="36"/>
          <w:szCs w:val="36"/>
        </w:rPr>
      </w:pPr>
      <w:bookmarkStart w:id="6" w:name="_GoBack"/>
      <w:bookmarkEnd w:id="6"/>
    </w:p>
    <w:p w14:paraId="1A0B6617">
      <w:pPr>
        <w:spacing w:line="0" w:lineRule="atLeast"/>
        <w:rPr>
          <w:rFonts w:hint="eastAsia" w:ascii="Arial" w:hAnsi="Arial" w:cs="Arial" w:eastAsiaTheme="minorEastAsia"/>
          <w:b/>
          <w:color w:val="C9142A"/>
          <w:sz w:val="36"/>
          <w:szCs w:val="36"/>
          <w:lang w:val="en-US" w:eastAsia="zh-CN"/>
        </w:rPr>
      </w:pPr>
      <w:r>
        <w:rPr>
          <w:rFonts w:hint="eastAsia" w:ascii="Arial" w:hAnsi="Arial" w:cs="Arial"/>
          <w:b/>
          <w:color w:val="C9142A"/>
          <w:sz w:val="36"/>
          <w:szCs w:val="36"/>
        </w:rPr>
        <w:t>I</w:t>
      </w:r>
      <w:r>
        <w:rPr>
          <w:rFonts w:ascii="Arial" w:hAnsi="Arial" w:cs="Arial"/>
          <w:b/>
          <w:color w:val="C9142A"/>
          <w:sz w:val="36"/>
          <w:szCs w:val="36"/>
        </w:rPr>
        <w:t>V</w:t>
      </w:r>
      <w:r>
        <w:rPr>
          <w:rFonts w:hint="eastAsia" w:ascii="Arial" w:hAnsi="Arial" w:cs="Arial"/>
          <w:b/>
          <w:color w:val="C9142A"/>
          <w:sz w:val="36"/>
          <w:szCs w:val="36"/>
        </w:rPr>
        <w:t>4008</w:t>
      </w:r>
      <w:r>
        <w:rPr>
          <w:rFonts w:hint="eastAsia" w:ascii="Arial" w:hAnsi="Arial" w:cs="Arial"/>
          <w:b/>
          <w:color w:val="C9142A"/>
          <w:sz w:val="36"/>
          <w:szCs w:val="36"/>
          <w:lang w:val="en-US" w:eastAsia="zh-CN"/>
        </w:rPr>
        <w:t>P</w:t>
      </w:r>
    </w:p>
    <w:p w14:paraId="7A4F9939">
      <w:pPr>
        <w:spacing w:line="280" w:lineRule="exact"/>
        <w:rPr>
          <w:rFonts w:ascii="微软雅黑" w:hAnsi="微软雅黑" w:eastAsia="微软雅黑" w:cs="Arial"/>
          <w:b/>
          <w:color w:val="C9142A"/>
          <w:sz w:val="24"/>
          <w:szCs w:val="24"/>
        </w:rPr>
      </w:pPr>
      <w:r>
        <w:rPr>
          <w:rFonts w:hint="eastAsia" w:ascii="微软雅黑" w:hAnsi="微软雅黑" w:eastAsia="微软雅黑" w:cs="Arial"/>
          <w:b/>
          <w:color w:val="C9142A"/>
          <w:sz w:val="24"/>
          <w:szCs w:val="24"/>
        </w:rPr>
        <w:t>高分子冷裱膜</w:t>
      </w:r>
    </w:p>
    <w:p w14:paraId="2A3E13AF">
      <w:pPr>
        <w:spacing w:line="320" w:lineRule="exact"/>
        <w:rPr>
          <w:rFonts w:ascii="Tahoma" w:hAnsi="Tahoma" w:cs="Tahoma"/>
          <w:szCs w:val="21"/>
        </w:rPr>
      </w:pPr>
    </w:p>
    <w:p w14:paraId="2B0DC3EF"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143510</wp:posOffset>
            </wp:positionV>
            <wp:extent cx="150495" cy="150495"/>
            <wp:effectExtent l="0" t="0" r="1905" b="1905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>产品描述：</w:t>
      </w:r>
    </w:p>
    <w:p w14:paraId="613C90A4">
      <w:pPr>
        <w:spacing w:line="240" w:lineRule="exact"/>
        <w:rPr>
          <w:rFonts w:hint="eastAsia" w:ascii="微软雅黑" w:hAnsi="微软雅黑" w:eastAsia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/>
          <w:sz w:val="18"/>
          <w:szCs w:val="18"/>
        </w:rPr>
        <w:t>面膜：60micron高分子透明光膜</w:t>
      </w:r>
    </w:p>
    <w:p w14:paraId="1FD5A626">
      <w:pPr>
        <w:spacing w:line="240" w:lineRule="exact"/>
        <w:ind w:firstLine="540" w:firstLineChars="300"/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  <w:lang w:val="en-US" w:eastAsia="zh-CN"/>
        </w:rPr>
        <w:t>40</w:t>
      </w:r>
      <w:r>
        <w:rPr>
          <w:rFonts w:hint="eastAsia" w:ascii="微软雅黑" w:hAnsi="微软雅黑" w:eastAsia="微软雅黑"/>
          <w:sz w:val="18"/>
          <w:szCs w:val="18"/>
        </w:rPr>
        <w:t>micron</w:t>
      </w:r>
      <w:r>
        <w:rPr>
          <w:rFonts w:hint="eastAsia" w:ascii="微软雅黑" w:hAnsi="微软雅黑" w:eastAsia="微软雅黑"/>
          <w:sz w:val="18"/>
          <w:szCs w:val="18"/>
          <w:lang w:val="en-US" w:eastAsia="zh-CN"/>
        </w:rPr>
        <w:t>PE保护膜</w:t>
      </w:r>
      <w:r>
        <w:rPr>
          <w:rFonts w:hint="eastAsia" w:ascii="微软雅黑" w:hAnsi="微软雅黑" w:eastAsia="微软雅黑"/>
          <w:sz w:val="18"/>
          <w:szCs w:val="18"/>
        </w:rPr>
        <w:t>；</w:t>
      </w:r>
    </w:p>
    <w:p w14:paraId="7F7C0427">
      <w:pPr>
        <w:spacing w:line="240" w:lineRule="exact"/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胶水：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透明胶；</w:t>
      </w:r>
    </w:p>
    <w:p w14:paraId="36C42D6E">
      <w:pPr>
        <w:spacing w:line="240" w:lineRule="exact"/>
        <w:rPr>
          <w:rFonts w:hint="eastAsia" w:ascii="微软雅黑" w:hAnsi="微软雅黑" w:eastAsia="微软雅黑"/>
          <w:color w:val="000000" w:themeColor="text1"/>
          <w:sz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sz w:val="18"/>
          <w:szCs w:val="18"/>
        </w:rPr>
        <w:t>底材：</w:t>
      </w:r>
      <w:r>
        <w:rPr>
          <w:rFonts w:hint="eastAsia" w:ascii="微软雅黑" w:hAnsi="微软雅黑" w:eastAsia="微软雅黑"/>
          <w:sz w:val="18"/>
          <w:szCs w:val="18"/>
          <w:lang w:val="en-US" w:eastAsia="zh-CN"/>
        </w:rPr>
        <w:t>50</w:t>
      </w:r>
      <w:r>
        <w:rPr>
          <w:rFonts w:hint="eastAsia" w:ascii="微软雅黑" w:hAnsi="微软雅黑" w:eastAsia="微软雅黑"/>
          <w:sz w:val="18"/>
          <w:szCs w:val="18"/>
        </w:rPr>
        <w:t xml:space="preserve">micron </w:t>
      </w:r>
      <w:r>
        <w:rPr>
          <w:rFonts w:hint="eastAsia" w:ascii="微软雅黑" w:hAnsi="微软雅黑" w:eastAsia="微软雅黑"/>
          <w:color w:val="000000" w:themeColor="text1"/>
          <w:sz w:val="18"/>
          <w14:textFill>
            <w14:solidFill>
              <w14:schemeClr w14:val="tx1"/>
            </w14:solidFill>
          </w14:textFill>
        </w:rPr>
        <w:t>单面离型磨砂PET</w:t>
      </w:r>
      <w:r>
        <w:rPr>
          <w:rFonts w:hint="eastAsia" w:ascii="微软雅黑" w:hAnsi="微软雅黑" w:eastAsia="微软雅黑"/>
          <w:color w:val="000000" w:themeColor="text1"/>
          <w:sz w:val="18"/>
          <w:lang w:val="en-US" w:eastAsia="zh-CN"/>
          <w14:textFill>
            <w14:solidFill>
              <w14:schemeClr w14:val="tx1"/>
            </w14:solidFill>
          </w14:textFill>
        </w:rPr>
        <w:t>；</w:t>
      </w:r>
    </w:p>
    <w:p w14:paraId="2BE99EEA">
      <w:pPr>
        <w:spacing w:line="240" w:lineRule="exact"/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宽幅：1.06/1.27/1.37/1.52m</w:t>
      </w:r>
    </w:p>
    <w:p w14:paraId="62A178A9"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140335</wp:posOffset>
            </wp:positionV>
            <wp:extent cx="150495" cy="150495"/>
            <wp:effectExtent l="0" t="0" r="1905" b="1905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 xml:space="preserve">产品特点： </w:t>
      </w:r>
    </w:p>
    <w:p w14:paraId="5222EAF0">
      <w:pPr>
        <w:autoSpaceDE w:val="0"/>
        <w:autoSpaceDN w:val="0"/>
        <w:adjustRightInd w:val="0"/>
        <w:spacing w:line="240" w:lineRule="exact"/>
        <w:jc w:val="left"/>
        <w:rPr>
          <w:rFonts w:ascii="微软雅黑" w:hAnsi="微软雅黑" w:eastAsia="微软雅黑" w:cs="Tahoma"/>
          <w:kern w:val="0"/>
          <w:sz w:val="18"/>
          <w:szCs w:val="18"/>
        </w:rPr>
      </w:pPr>
      <w:r>
        <w:rPr>
          <w:rFonts w:hint="eastAsia" w:ascii="微软雅黑" w:hAnsi="微软雅黑" w:eastAsia="微软雅黑" w:cs="Tahoma"/>
          <w:kern w:val="0"/>
          <w:sz w:val="18"/>
          <w:szCs w:val="18"/>
        </w:rPr>
        <w:t>1、高分子面膜，使用期限长，延长画面色彩饱和度的时间，更有效保护画面不褪色。</w:t>
      </w:r>
    </w:p>
    <w:p w14:paraId="604032E3">
      <w:pPr>
        <w:autoSpaceDE w:val="0"/>
        <w:autoSpaceDN w:val="0"/>
        <w:adjustRightInd w:val="0"/>
        <w:spacing w:line="240" w:lineRule="exact"/>
        <w:jc w:val="left"/>
        <w:rPr>
          <w:rFonts w:ascii="微软雅黑" w:hAnsi="微软雅黑" w:eastAsia="微软雅黑" w:cs="Tahoma"/>
          <w:kern w:val="0"/>
          <w:sz w:val="18"/>
          <w:szCs w:val="18"/>
        </w:rPr>
      </w:pPr>
      <w:bookmarkStart w:id="0" w:name="OLE_LINK3"/>
      <w:bookmarkStart w:id="1" w:name="OLE_LINK5"/>
      <w:bookmarkStart w:id="2" w:name="OLE_LINK2"/>
      <w:bookmarkStart w:id="3" w:name="OLE_LINK1"/>
      <w:bookmarkStart w:id="4" w:name="OLE_LINK6"/>
      <w:bookmarkStart w:id="5" w:name="OLE_LINK4"/>
      <w:r>
        <w:rPr>
          <w:rFonts w:hint="eastAsia" w:ascii="微软雅黑" w:hAnsi="微软雅黑" w:eastAsia="微软雅黑" w:cs="Tahoma"/>
          <w:kern w:val="0"/>
          <w:sz w:val="18"/>
          <w:szCs w:val="18"/>
        </w:rPr>
        <w:t>2、</w:t>
      </w:r>
      <w:bookmarkEnd w:id="0"/>
      <w:bookmarkEnd w:id="1"/>
      <w:bookmarkEnd w:id="2"/>
      <w:bookmarkEnd w:id="3"/>
      <w:bookmarkEnd w:id="4"/>
      <w:bookmarkEnd w:id="5"/>
      <w:r>
        <w:rPr>
          <w:rFonts w:hint="eastAsia" w:ascii="微软雅黑" w:hAnsi="微软雅黑" w:eastAsia="微软雅黑" w:cs="Tahoma"/>
          <w:kern w:val="0"/>
          <w:sz w:val="18"/>
          <w:szCs w:val="18"/>
        </w:rPr>
        <w:t>冷裱于平整画面表面，使画面更加生动，提升产品的档次；</w:t>
      </w:r>
    </w:p>
    <w:p w14:paraId="61EF74B7">
      <w:pPr>
        <w:autoSpaceDE w:val="0"/>
        <w:autoSpaceDN w:val="0"/>
        <w:adjustRightInd w:val="0"/>
        <w:jc w:val="left"/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color w:val="C00000"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151130</wp:posOffset>
            </wp:positionV>
            <wp:extent cx="150495" cy="150495"/>
            <wp:effectExtent l="0" t="0" r="1905" b="1905"/>
            <wp:wrapSquare wrapText="bothSides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C00000"/>
          <w:sz w:val="24"/>
          <w:szCs w:val="24"/>
        </w:rPr>
        <w:t>产品应用：</w:t>
      </w:r>
      <w:r>
        <w:rPr>
          <w:rFonts w:hint="eastAsia" w:ascii="微软雅黑" w:hAnsi="微软雅黑" w:eastAsia="微软雅黑"/>
          <w:b/>
          <w:color w:val="C00000"/>
        </w:rPr>
        <w:t xml:space="preserve"> </w:t>
      </w:r>
    </w:p>
    <w:p w14:paraId="081AD2FA">
      <w:pPr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产品主要适用于画面保护（如：</w:t>
      </w:r>
      <w:r>
        <w:rPr>
          <w:rFonts w:hint="eastAsia" w:ascii="微软雅黑" w:hAnsi="微软雅黑" w:eastAsia="微软雅黑"/>
          <w:sz w:val="16"/>
          <w:u w:val="single"/>
        </w:rPr>
        <w:t>广告画面覆膜，照片覆膜，画面冷裱等）</w:t>
      </w:r>
      <w:r>
        <w:rPr>
          <w:rFonts w:hint="eastAsia" w:ascii="微软雅黑" w:hAnsi="微软雅黑" w:eastAsia="微软雅黑"/>
          <w:sz w:val="18"/>
          <w:szCs w:val="18"/>
        </w:rPr>
        <w:t>。</w:t>
      </w:r>
    </w:p>
    <w:p w14:paraId="2B15D5EC">
      <w:pPr>
        <w:rPr>
          <w:rFonts w:ascii="微软雅黑" w:hAnsi="微软雅黑" w:eastAsia="微软雅黑"/>
          <w:sz w:val="18"/>
          <w:szCs w:val="18"/>
        </w:rPr>
      </w:pPr>
    </w:p>
    <w:p w14:paraId="209B6799"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138430</wp:posOffset>
            </wp:positionV>
            <wp:extent cx="150495" cy="150495"/>
            <wp:effectExtent l="0" t="0" r="1905" b="1905"/>
            <wp:wrapSquare wrapText="bothSides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 xml:space="preserve">技术参数： </w:t>
      </w:r>
    </w:p>
    <w:p w14:paraId="5B0B2716">
      <w:pPr>
        <w:tabs>
          <w:tab w:val="left" w:pos="9529"/>
          <w:tab w:val="left" w:pos="9792"/>
          <w:tab w:val="right" w:pos="10466"/>
        </w:tabs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测试条件：室内温度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23±2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℃、相对湿度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50±5%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，以铝板、玻璃、钢板作为基材测试。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ab/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ab/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ab/>
      </w:r>
    </w:p>
    <w:tbl>
      <w:tblPr>
        <w:tblStyle w:val="10"/>
        <w:tblW w:w="6912" w:type="dxa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9"/>
        <w:gridCol w:w="1035"/>
        <w:gridCol w:w="1834"/>
        <w:gridCol w:w="2184"/>
      </w:tblGrid>
      <w:tr w14:paraId="7871DCF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</w:trPr>
        <w:tc>
          <w:tcPr>
            <w:tcW w:w="185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  <w:insideH w:val="single" w:sz="8" w:space="0"/>
              <w:insideV w:val="nil"/>
              <w:tl2br w:val="nil"/>
              <w:tr2bl w:val="nil"/>
            </w:tcBorders>
            <w:shd w:val="clear" w:color="auto" w:fill="auto"/>
          </w:tcPr>
          <w:p w14:paraId="46F69B91">
            <w:pPr>
              <w:spacing w:before="0" w:beforeLines="0" w:beforeAutospacing="0" w:after="0" w:afterLines="0" w:afterAutospacing="0" w:line="240" w:lineRule="auto"/>
              <w:ind w:firstLine="320"/>
              <w:rPr>
                <w:rFonts w:ascii="Tahoma" w:hAnsi="Tahoma" w:eastAsia="宋体" w:cs="Tahoma"/>
                <w:b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/>
                <w:bCs/>
                <w:color w:val="000000"/>
                <w:kern w:val="0"/>
                <w:sz w:val="16"/>
                <w:szCs w:val="18"/>
              </w:rPr>
              <w:t>指标</w:t>
            </w:r>
          </w:p>
        </w:tc>
        <w:tc>
          <w:tcPr>
            <w:tcW w:w="1035" w:type="dxa"/>
            <w:tcBorders>
              <w:top w:val="single" w:color="000000" w:sz="8" w:space="0"/>
              <w:bottom w:val="single" w:color="000000" w:sz="8" w:space="0"/>
              <w:right w:val="nil"/>
              <w:insideH w:val="single" w:sz="8" w:space="0"/>
              <w:insideV w:val="nil"/>
              <w:tl2br w:val="nil"/>
              <w:tr2bl w:val="nil"/>
            </w:tcBorders>
            <w:shd w:val="clear" w:color="auto" w:fill="auto"/>
          </w:tcPr>
          <w:p w14:paraId="72E89338">
            <w:pPr>
              <w:spacing w:before="0" w:beforeLines="0" w:beforeAutospacing="0" w:after="0" w:afterLines="0" w:afterAutospacing="0" w:line="240" w:lineRule="auto"/>
              <w:rPr>
                <w:rFonts w:ascii="Tahoma" w:hAnsi="Tahoma" w:eastAsia="宋体" w:cs="Tahoma"/>
                <w:b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/>
                <w:bCs/>
                <w:color w:val="000000"/>
                <w:kern w:val="0"/>
                <w:sz w:val="16"/>
                <w:szCs w:val="18"/>
              </w:rPr>
              <w:t>单位</w:t>
            </w:r>
          </w:p>
        </w:tc>
        <w:tc>
          <w:tcPr>
            <w:tcW w:w="1834" w:type="dxa"/>
            <w:tcBorders>
              <w:top w:val="single" w:color="000000" w:sz="8" w:space="0"/>
              <w:bottom w:val="single" w:color="000000" w:sz="8" w:space="0"/>
              <w:right w:val="nil"/>
              <w:insideH w:val="single" w:sz="8" w:space="0"/>
              <w:insideV w:val="nil"/>
              <w:tl2br w:val="nil"/>
              <w:tr2bl w:val="nil"/>
            </w:tcBorders>
            <w:shd w:val="clear" w:color="auto" w:fill="auto"/>
          </w:tcPr>
          <w:p w14:paraId="45EFCC4B">
            <w:pPr>
              <w:spacing w:before="0" w:beforeLines="0" w:beforeAutospacing="0" w:after="0" w:afterLines="0" w:afterAutospacing="0" w:line="240" w:lineRule="auto"/>
              <w:rPr>
                <w:rFonts w:ascii="Tahoma" w:hAnsi="Tahoma" w:eastAsia="宋体" w:cs="Tahoma"/>
                <w:b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/>
                <w:bCs/>
                <w:color w:val="000000"/>
                <w:kern w:val="0"/>
                <w:sz w:val="16"/>
                <w:szCs w:val="18"/>
              </w:rPr>
              <w:t>测试方法</w:t>
            </w:r>
          </w:p>
        </w:tc>
        <w:tc>
          <w:tcPr>
            <w:tcW w:w="2184" w:type="dxa"/>
            <w:tcBorders>
              <w:top w:val="single" w:color="000000" w:sz="8" w:space="0"/>
              <w:bottom w:val="single" w:color="000000" w:sz="8" w:space="0"/>
              <w:right w:val="nil"/>
              <w:insideH w:val="single" w:sz="8" w:space="0"/>
              <w:insideV w:val="nil"/>
              <w:tl2br w:val="nil"/>
              <w:tr2bl w:val="nil"/>
            </w:tcBorders>
            <w:shd w:val="clear" w:color="auto" w:fill="auto"/>
          </w:tcPr>
          <w:p w14:paraId="27EA4A2B">
            <w:pPr>
              <w:spacing w:before="0" w:beforeLines="0" w:beforeAutospacing="0" w:after="0" w:afterLines="0" w:afterAutospacing="0" w:line="240" w:lineRule="auto"/>
              <w:rPr>
                <w:rFonts w:ascii="Tahoma" w:hAnsi="Tahoma" w:eastAsia="宋体" w:cs="Tahoma"/>
                <w:b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/>
                <w:bCs/>
                <w:color w:val="000000"/>
                <w:kern w:val="0"/>
                <w:sz w:val="16"/>
                <w:szCs w:val="18"/>
              </w:rPr>
              <w:t>标准</w:t>
            </w:r>
          </w:p>
        </w:tc>
      </w:tr>
      <w:tr w14:paraId="0ADBF85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1" w:hRule="atLeast"/>
        </w:trPr>
        <w:tc>
          <w:tcPr>
            <w:tcW w:w="1859" w:type="dxa"/>
            <w:tcBorders>
              <w:top w:val="single" w:color="000000" w:themeColor="text1" w:sz="8" w:space="0"/>
              <w:left w:val="nil"/>
              <w:bottom w:val="single" w:color="000000" w:themeColor="text1" w:sz="8" w:space="0"/>
              <w:right w:val="nil"/>
            </w:tcBorders>
            <w:shd w:val="clear" w:color="auto" w:fill="auto"/>
          </w:tcPr>
          <w:p w14:paraId="1D37BD59">
            <w:pPr>
              <w:rPr>
                <w:rFonts w:ascii="Tahoma" w:hAnsi="Tahoma" w:eastAsia="宋体" w:cs="Tahoma"/>
                <w:b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PVC 膜厚度</w:t>
            </w:r>
          </w:p>
          <w:p w14:paraId="6AFCB516">
            <w:pP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底纸克重</w:t>
            </w:r>
          </w:p>
          <w:p w14:paraId="03B7E27F">
            <w:pPr>
              <w:rPr>
                <w:rFonts w:ascii="Tahoma" w:hAnsi="Tahoma" w:eastAsia="宋体" w:cs="Tahoma"/>
                <w:b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成品重量</w:t>
            </w:r>
          </w:p>
          <w:p w14:paraId="1701F79C">
            <w:pPr>
              <w:rPr>
                <w:rFonts w:ascii="Tahoma" w:hAnsi="Tahoma" w:eastAsia="宋体" w:cs="Tahoma"/>
                <w:b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初粘力</w:t>
            </w:r>
          </w:p>
          <w:p w14:paraId="093FE827">
            <w:pP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24h，180°剥离力</w:t>
            </w:r>
          </w:p>
          <w:p w14:paraId="39637A34">
            <w:pP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尺寸稳定性MD</w:t>
            </w:r>
          </w:p>
          <w:p w14:paraId="6709BBCB">
            <w:pP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尺寸稳定性CD</w:t>
            </w:r>
          </w:p>
          <w:p w14:paraId="097F6DA9">
            <w:pP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拉伸强度 MD</w:t>
            </w:r>
          </w:p>
          <w:p w14:paraId="3BAA7EFA">
            <w:pPr>
              <w:rPr>
                <w:rFonts w:ascii="Tahoma" w:hAnsi="Tahoma" w:eastAsia="宋体" w:cs="Tahoma"/>
                <w:b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拉伸强度 CD</w:t>
            </w:r>
          </w:p>
          <w:p w14:paraId="3B145A3A">
            <w:pPr>
              <w:rPr>
                <w:rFonts w:ascii="Tahoma" w:hAnsi="Tahoma" w:eastAsia="宋体" w:cs="Tahoma"/>
                <w:b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施工温度</w:t>
            </w:r>
          </w:p>
          <w:p w14:paraId="76F4813B">
            <w:pPr>
              <w:rPr>
                <w:rFonts w:ascii="Tahoma" w:hAnsi="Tahoma" w:eastAsia="宋体" w:cs="Tahoma"/>
                <w:b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适用温度</w:t>
            </w:r>
          </w:p>
        </w:tc>
        <w:tc>
          <w:tcPr>
            <w:tcW w:w="1035" w:type="dxa"/>
            <w:tcBorders>
              <w:top w:val="single" w:color="000000" w:themeColor="text1" w:sz="8" w:space="0"/>
              <w:left w:val="nil"/>
              <w:bottom w:val="single" w:color="000000" w:themeColor="text1" w:sz="8" w:space="0"/>
              <w:right w:val="nil"/>
            </w:tcBorders>
            <w:shd w:val="clear" w:color="auto" w:fill="auto"/>
          </w:tcPr>
          <w:p w14:paraId="1A421E30">
            <w:pPr>
              <w:rPr>
                <w:rFonts w:ascii="Times New Roman" w:hAnsi="Times New Roman" w:eastAsia="宋体" w:cs="Times New Roman"/>
                <w:bCs/>
                <w:color w:val="000000"/>
                <w:kern w:val="0"/>
                <w:sz w:val="16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kern w:val="0"/>
                <w:sz w:val="16"/>
                <w:szCs w:val="20"/>
              </w:rPr>
              <w:t>Micron</w:t>
            </w:r>
          </w:p>
          <w:p w14:paraId="75BFC7D8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g/m²</w:t>
            </w:r>
          </w:p>
          <w:p w14:paraId="6FD18BD3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g/m²</w:t>
            </w:r>
          </w:p>
          <w:p w14:paraId="445F8850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N/25mm</w:t>
            </w:r>
          </w:p>
          <w:p w14:paraId="4DC87BB8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N/25mm</w:t>
            </w:r>
          </w:p>
          <w:p w14:paraId="1A53F35B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mm</w:t>
            </w:r>
          </w:p>
          <w:p w14:paraId="716ACFCE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mm</w:t>
            </w:r>
          </w:p>
          <w:p w14:paraId="3C606C6D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N/25 mm</w:t>
            </w:r>
          </w:p>
          <w:p w14:paraId="64DEBAD1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N/25 mm</w:t>
            </w:r>
          </w:p>
          <w:p w14:paraId="0D2D3543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6"/>
                <w:szCs w:val="18"/>
              </w:rPr>
              <w:t>℃</w:t>
            </w:r>
          </w:p>
          <w:p w14:paraId="3D07A713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6"/>
                <w:szCs w:val="18"/>
              </w:rPr>
              <w:t>℃</w:t>
            </w:r>
          </w:p>
        </w:tc>
        <w:tc>
          <w:tcPr>
            <w:tcW w:w="1834" w:type="dxa"/>
            <w:tcBorders>
              <w:top w:val="single" w:color="000000" w:themeColor="text1" w:sz="8" w:space="0"/>
              <w:bottom w:val="single" w:color="000000" w:themeColor="text1" w:sz="8" w:space="0"/>
              <w:right w:val="nil"/>
            </w:tcBorders>
            <w:shd w:val="clear" w:color="auto" w:fill="auto"/>
          </w:tcPr>
          <w:p w14:paraId="323AB8E1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GB/T6672-2001</w:t>
            </w:r>
          </w:p>
          <w:p w14:paraId="0EA715DB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GB4669-1995</w:t>
            </w:r>
          </w:p>
          <w:p w14:paraId="6578C02D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GB4669-1995</w:t>
            </w:r>
          </w:p>
          <w:p w14:paraId="13E271D3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FTM</w:t>
            </w:r>
            <w:r>
              <w:rPr>
                <w:rFonts w:hint="eastAsia"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 xml:space="preserve"> </w:t>
            </w: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9</w:t>
            </w:r>
          </w:p>
          <w:p w14:paraId="5AB1A4C5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FTM</w:t>
            </w:r>
            <w:r>
              <w:rPr>
                <w:rFonts w:hint="eastAsia"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 xml:space="preserve"> </w:t>
            </w: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1</w:t>
            </w:r>
          </w:p>
          <w:p w14:paraId="72BD6D9E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FTM</w:t>
            </w:r>
            <w:r>
              <w:rPr>
                <w:rFonts w:hint="eastAsia"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 xml:space="preserve"> </w:t>
            </w: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14</w:t>
            </w:r>
          </w:p>
          <w:p w14:paraId="699D3255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FTM</w:t>
            </w:r>
            <w:r>
              <w:rPr>
                <w:rFonts w:hint="eastAsia"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 xml:space="preserve"> </w:t>
            </w: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 xml:space="preserve">14   </w:t>
            </w:r>
          </w:p>
          <w:p w14:paraId="0D6ED268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GB/T1040.1-2006</w:t>
            </w:r>
          </w:p>
          <w:p w14:paraId="1B1AC499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GB/T1040.1-2006</w:t>
            </w:r>
          </w:p>
          <w:p w14:paraId="6E2BAF63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2184" w:type="dxa"/>
            <w:tcBorders>
              <w:top w:val="single" w:color="000000" w:themeColor="text1" w:sz="8" w:space="0"/>
              <w:bottom w:val="single" w:color="000000" w:themeColor="text1" w:sz="8" w:space="0"/>
              <w:right w:val="nil"/>
            </w:tcBorders>
            <w:shd w:val="clear" w:color="auto" w:fill="auto"/>
          </w:tcPr>
          <w:p w14:paraId="06301EE0">
            <w:pP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</w:pPr>
            <w:r>
              <w:rPr>
                <w:rFonts w:hint="eastAsia"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60</w:t>
            </w: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±</w:t>
            </w:r>
            <w:r>
              <w:rPr>
                <w:rFonts w:hint="eastAsia"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5</w:t>
            </w:r>
          </w:p>
          <w:p w14:paraId="07984D88">
            <w:pPr>
              <w:rPr>
                <w:rFonts w:ascii="Tahoma" w:hAnsi="Tahoma" w:eastAsia="宋体" w:cs="Tahoma"/>
                <w:b/>
                <w:color w:val="auto"/>
                <w:kern w:val="0"/>
                <w:sz w:val="16"/>
                <w:szCs w:val="18"/>
              </w:rPr>
            </w:pPr>
            <w:r>
              <w:rPr>
                <w:rFonts w:hint="eastAsia" w:ascii="Tahoma" w:hAnsi="Tahoma" w:eastAsia="宋体" w:cs="Tahoma"/>
                <w:bCs/>
                <w:color w:val="auto"/>
                <w:kern w:val="0"/>
                <w:sz w:val="16"/>
                <w:szCs w:val="18"/>
                <w:lang w:val="en-US" w:eastAsia="zh-CN"/>
              </w:rPr>
              <w:t>70</w:t>
            </w: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±</w:t>
            </w:r>
            <w:r>
              <w:rPr>
                <w:rFonts w:hint="eastAsia"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10</w:t>
            </w:r>
          </w:p>
          <w:p w14:paraId="5E6EF212">
            <w:pP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</w:pPr>
            <w:r>
              <w:rPr>
                <w:rFonts w:hint="eastAsia" w:ascii="Tahoma" w:hAnsi="Tahoma" w:eastAsia="宋体" w:cs="Tahoma"/>
                <w:bCs/>
                <w:color w:val="auto"/>
                <w:kern w:val="0"/>
                <w:sz w:val="16"/>
                <w:szCs w:val="18"/>
                <w:lang w:val="en-US" w:eastAsia="zh-CN"/>
              </w:rPr>
              <w:t>200</w:t>
            </w: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±20</w:t>
            </w:r>
          </w:p>
          <w:p w14:paraId="4A91E4DA">
            <w:pP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≥</w:t>
            </w:r>
            <w:r>
              <w:rPr>
                <w:rFonts w:hint="eastAsia"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11</w:t>
            </w:r>
          </w:p>
          <w:p w14:paraId="6F362A56">
            <w:pP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≥</w:t>
            </w:r>
            <w:r>
              <w:rPr>
                <w:rFonts w:hint="eastAsia"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13</w:t>
            </w:r>
          </w:p>
          <w:p w14:paraId="02F2D390">
            <w:pPr>
              <w:rPr>
                <w:rFonts w:ascii="Tahoma" w:hAnsi="Tahoma" w:eastAsia="宋体" w:cs="Tahoma"/>
                <w:b/>
                <w:color w:val="auto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≤</w:t>
            </w:r>
            <w:r>
              <w:rPr>
                <w:rFonts w:hint="eastAsia"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0.5</w:t>
            </w:r>
          </w:p>
          <w:p w14:paraId="0ED81983">
            <w:pPr>
              <w:rPr>
                <w:rFonts w:ascii="Tahoma" w:hAnsi="Tahoma" w:eastAsia="宋体" w:cs="Tahoma"/>
                <w:b/>
                <w:color w:val="auto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≤</w:t>
            </w:r>
            <w:r>
              <w:rPr>
                <w:rFonts w:hint="eastAsia"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0.5</w:t>
            </w:r>
          </w:p>
          <w:p w14:paraId="38A555D2">
            <w:pPr>
              <w:rPr>
                <w:rFonts w:ascii="Tahoma" w:hAnsi="Tahoma" w:eastAsia="宋体" w:cs="Tahoma"/>
                <w:b/>
                <w:color w:val="auto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≥</w:t>
            </w:r>
            <w:r>
              <w:rPr>
                <w:rFonts w:hint="eastAsia"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40</w:t>
            </w:r>
          </w:p>
          <w:p w14:paraId="11F2738C">
            <w:pP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≥</w:t>
            </w:r>
            <w:r>
              <w:rPr>
                <w:rFonts w:hint="eastAsia"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35</w:t>
            </w:r>
          </w:p>
          <w:p w14:paraId="6F8E0D00">
            <w:pPr>
              <w:rPr>
                <w:rFonts w:ascii="Tahoma" w:hAnsi="Tahoma" w:eastAsia="宋体" w:cs="Tahoma"/>
                <w:color w:val="auto"/>
                <w:kern w:val="0"/>
                <w:sz w:val="16"/>
                <w:szCs w:val="20"/>
              </w:rPr>
            </w:pPr>
            <w:r>
              <w:rPr>
                <w:rFonts w:ascii="Tahoma" w:hAnsi="Tahoma" w:eastAsia="宋体" w:cs="Tahoma"/>
                <w:color w:val="auto"/>
                <w:kern w:val="0"/>
                <w:sz w:val="16"/>
                <w:szCs w:val="20"/>
              </w:rPr>
              <w:t>20±10</w:t>
            </w:r>
          </w:p>
          <w:p w14:paraId="7474352D">
            <w:pP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</w:pPr>
            <w:r>
              <w:rPr>
                <w:rFonts w:hint="eastAsia"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-</w:t>
            </w: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20～+70</w:t>
            </w:r>
          </w:p>
        </w:tc>
      </w:tr>
    </w:tbl>
    <w:p w14:paraId="7CDCF434">
      <w:pPr>
        <w:tabs>
          <w:tab w:val="center" w:pos="1301"/>
        </w:tabs>
        <w:rPr>
          <w:b/>
          <w:color w:val="000000" w:themeColor="text1"/>
          <w:sz w:val="16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16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b/>
          <w:color w:val="000000" w:themeColor="text1"/>
          <w:sz w:val="16"/>
          <w14:textFill>
            <w14:solidFill>
              <w14:schemeClr w14:val="tx1"/>
            </w14:solidFill>
          </w14:textFill>
        </w:rPr>
        <w:t>*以上所有参数的变更恕不另行通知</w:t>
      </w:r>
    </w:p>
    <w:p w14:paraId="544C22AC">
      <w:pPr>
        <w:tabs>
          <w:tab w:val="center" w:pos="1301"/>
        </w:tabs>
        <w:rPr>
          <w:b/>
          <w:color w:val="000000" w:themeColor="text1"/>
          <w:sz w:val="1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color w:val="C00000"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125095</wp:posOffset>
            </wp:positionV>
            <wp:extent cx="150495" cy="150495"/>
            <wp:effectExtent l="0" t="0" r="1905" b="1905"/>
            <wp:wrapSquare wrapText="bothSides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C00000"/>
          <w:sz w:val="24"/>
          <w:szCs w:val="24"/>
        </w:rPr>
        <w:t>仓储条件：</w:t>
      </w:r>
      <w:r>
        <w:rPr>
          <w:rFonts w:hint="eastAsia" w:ascii="微软雅黑" w:hAnsi="微软雅黑" w:eastAsia="微软雅黑"/>
          <w:b/>
          <w:color w:val="C00000"/>
        </w:rPr>
        <w:t xml:space="preserve"> </w:t>
      </w:r>
    </w:p>
    <w:p w14:paraId="5CDEEBFC">
      <w:pPr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所有INFLEX的产品需储放在原始包装中用原始的保护材料，建议密封保存，水平放置，叠放层高不宜超过6层，避免阳光直射、热源直接接触。仓储温度</w:t>
      </w:r>
      <w:r>
        <w:rPr>
          <w:rFonts w:ascii="微软雅黑" w:hAnsi="微软雅黑" w:eastAsia="微软雅黑"/>
          <w:sz w:val="18"/>
          <w:szCs w:val="18"/>
        </w:rPr>
        <w:t>2</w:t>
      </w:r>
      <w:r>
        <w:rPr>
          <w:rFonts w:hint="eastAsia" w:ascii="微软雅黑" w:hAnsi="微软雅黑" w:eastAsia="微软雅黑"/>
          <w:sz w:val="18"/>
          <w:szCs w:val="18"/>
        </w:rPr>
        <w:t>5</w:t>
      </w:r>
      <w:r>
        <w:rPr>
          <w:rFonts w:ascii="微软雅黑" w:hAnsi="微软雅黑" w:eastAsia="微软雅黑"/>
          <w:sz w:val="18"/>
          <w:szCs w:val="18"/>
        </w:rPr>
        <w:t>±</w:t>
      </w:r>
      <w:r>
        <w:rPr>
          <w:rFonts w:hint="eastAsia" w:ascii="微软雅黑" w:hAnsi="微软雅黑" w:eastAsia="微软雅黑"/>
          <w:sz w:val="18"/>
          <w:szCs w:val="18"/>
        </w:rPr>
        <w:t>5℃、相对湿度50</w:t>
      </w:r>
      <w:r>
        <w:rPr>
          <w:rFonts w:ascii="微软雅黑" w:hAnsi="微软雅黑" w:eastAsia="微软雅黑"/>
          <w:sz w:val="18"/>
          <w:szCs w:val="18"/>
        </w:rPr>
        <w:t>±</w:t>
      </w:r>
      <w:r>
        <w:rPr>
          <w:rFonts w:hint="eastAsia" w:ascii="微软雅黑" w:hAnsi="微软雅黑" w:eastAsia="微软雅黑"/>
          <w:sz w:val="18"/>
          <w:szCs w:val="18"/>
        </w:rPr>
        <w:t>15%。在这种条件下，该产品储存期是18个月。</w:t>
      </w:r>
    </w:p>
    <w:p w14:paraId="17492DCF"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126365</wp:posOffset>
            </wp:positionV>
            <wp:extent cx="150495" cy="150495"/>
            <wp:effectExtent l="0" t="0" r="1905" b="1905"/>
            <wp:wrapSquare wrapText="bothSides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 xml:space="preserve">打印制作要求： </w:t>
      </w:r>
    </w:p>
    <w:p w14:paraId="4F2F3B27">
      <w:pPr>
        <w:pStyle w:val="11"/>
        <w:spacing w:line="340" w:lineRule="exact"/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制作环境：</w:t>
      </w:r>
      <w:r>
        <w:rPr>
          <w:rFonts w:ascii="微软雅黑" w:hAnsi="微软雅黑" w:eastAsia="微软雅黑" w:cs="Calibri"/>
          <w:sz w:val="18"/>
          <w:szCs w:val="18"/>
        </w:rPr>
        <w:t>INFLEX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产品建议在温度</w:t>
      </w:r>
      <w:r>
        <w:rPr>
          <w:rFonts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</w:t>
      </w:r>
      <w:r>
        <w:rPr>
          <w:rFonts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±</w:t>
      </w:r>
      <w:r>
        <w:rPr>
          <w:rFonts w:hint="eastAsia"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℃，相对湿度为</w:t>
      </w:r>
      <w:r>
        <w:rPr>
          <w:rFonts w:hint="eastAsia"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50</w:t>
      </w:r>
      <w:r>
        <w:rPr>
          <w:rFonts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±</w:t>
      </w:r>
      <w:r>
        <w:rPr>
          <w:rFonts w:hint="eastAsia"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%，洁净无尘、无悬浮物的环境下使用；</w:t>
      </w:r>
      <w:r>
        <w:rPr>
          <w:rFonts w:hint="eastAsia" w:ascii="微软雅黑" w:hAnsi="微软雅黑" w:eastAsia="微软雅黑"/>
          <w:sz w:val="18"/>
          <w:szCs w:val="18"/>
        </w:rPr>
        <w:t>待被裱物喷绘油墨完全干燥后，再进行冷裱等施工操作。</w:t>
      </w:r>
    </w:p>
    <w:p w14:paraId="3A10CDB5">
      <w:pPr>
        <w:spacing w:line="340" w:lineRule="exact"/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张贴要求：</w:t>
      </w:r>
      <w:r>
        <w:rPr>
          <w:rFonts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0</w:t>
      </w:r>
      <w:r>
        <w:rPr>
          <w:rFonts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±</w:t>
      </w:r>
      <w:r>
        <w:rPr>
          <w:rFonts w:hint="eastAsia"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℃，相对湿度为</w:t>
      </w:r>
      <w:r>
        <w:rPr>
          <w:rFonts w:hint="eastAsia"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50</w:t>
      </w:r>
      <w:r>
        <w:rPr>
          <w:rFonts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±</w:t>
      </w:r>
      <w:r>
        <w:rPr>
          <w:rFonts w:hint="eastAsia"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%；粘贴于平整、光滑、洁净、表面无浮尘、表皮无脱落的物体表面，贴合必要养护时间需要2小时以上。</w:t>
      </w:r>
    </w:p>
    <w:p w14:paraId="2B984841"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128905</wp:posOffset>
            </wp:positionV>
            <wp:extent cx="150495" cy="150495"/>
            <wp:effectExtent l="0" t="0" r="1905" b="1905"/>
            <wp:wrapSquare wrapText="bothSides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 xml:space="preserve">质保条件： </w:t>
      </w:r>
    </w:p>
    <w:p w14:paraId="2716296C">
      <w:pP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存储期：在原始的包装中储存期限为18个月；</w:t>
      </w:r>
    </w:p>
    <w:p w14:paraId="03C42FD9">
      <w:pP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使用期限：自产品生产日期起3年内有效，逾期不接受投诉。</w:t>
      </w:r>
    </w:p>
    <w:p w14:paraId="6DCD8D95"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131445</wp:posOffset>
            </wp:positionV>
            <wp:extent cx="150495" cy="150495"/>
            <wp:effectExtent l="0" t="0" r="1905" b="1905"/>
            <wp:wrapSquare wrapText="bothSides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 xml:space="preserve">重要备注： </w:t>
      </w:r>
    </w:p>
    <w:p w14:paraId="6A8097E8">
      <w:pPr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INFLEX所有有关材料的说明、技术信息及应用推荐是基于我们认为可信的典型性测试结果，信息描述的是一个平均值、最小或最大值，且应当考虑仅供参考，不做任何担保。所有INFLEX公司的产品的售出均应由终端客户在最终环境下进行测试，以确认是否符合该使用环境的要求，确定选择购买何种材料。</w:t>
      </w:r>
    </w:p>
    <w:p w14:paraId="3901DE7F">
      <w:pPr>
        <w:autoSpaceDE w:val="0"/>
        <w:autoSpaceDN w:val="0"/>
        <w:adjustRightInd w:val="0"/>
        <w:jc w:val="left"/>
        <w:rPr>
          <w:rFonts w:hint="eastAsia" w:ascii="微软雅黑" w:hAnsi="微软雅黑" w:eastAsia="微软雅黑"/>
          <w:b/>
          <w:color w:val="C00000"/>
        </w:rPr>
      </w:pPr>
      <w:r>
        <w:rPr>
          <w:rFonts w:hint="eastAsia" w:ascii="微软雅黑" w:hAnsi="微软雅黑" w:eastAsia="微软雅黑"/>
          <w:b/>
          <w:color w:val="C00000"/>
          <w:sz w:val="24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151130</wp:posOffset>
            </wp:positionV>
            <wp:extent cx="150495" cy="150495"/>
            <wp:effectExtent l="0" t="0" r="1905" b="1905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C00000"/>
          <w:sz w:val="24"/>
          <w:szCs w:val="24"/>
        </w:rPr>
        <w:t>产品应用：</w:t>
      </w:r>
      <w:r>
        <w:rPr>
          <w:rFonts w:hint="eastAsia" w:ascii="微软雅黑" w:hAnsi="微软雅黑" w:eastAsia="微软雅黑"/>
          <w:b/>
          <w:color w:val="C00000"/>
        </w:rPr>
        <w:t xml:space="preserve"> </w:t>
      </w:r>
    </w:p>
    <w:p w14:paraId="61B12992">
      <w:pPr>
        <w:autoSpaceDE w:val="0"/>
        <w:autoSpaceDN w:val="0"/>
        <w:adjustRightInd w:val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※搭配IV3200车身装饰：</w:t>
      </w:r>
    </w:p>
    <w:p w14:paraId="3D96B402">
      <w:r>
        <w:drawing>
          <wp:inline distT="0" distB="0" distL="0" distR="0">
            <wp:extent cx="6645275" cy="4986655"/>
            <wp:effectExtent l="0" t="0" r="3175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4986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21AA76">
    <w:pPr>
      <w:pStyle w:val="3"/>
    </w:pPr>
    <w:r>
      <w:drawing>
        <wp:inline distT="0" distB="0" distL="0" distR="0">
          <wp:extent cx="6569710" cy="429260"/>
          <wp:effectExtent l="0" t="0" r="2540" b="8890"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9809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4D6E40">
    <w:pPr>
      <w:pStyle w:val="4"/>
    </w:pPr>
    <w:r>
      <w:pict>
        <v:shape id="WordPictureWatermark6745906" o:spid="_x0000_s2075" o:spt="75" type="#_x0000_t75" style="position:absolute;left:0pt;height:107.65pt;width:523.15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INFLEX-LOGO-01"/>
          <o:lock v:ext="edit" aspectratio="t"/>
        </v:shape>
      </w:pict>
    </w:r>
    <w:r>
      <w:rPr>
        <w:rFonts w:hint="eastAsia"/>
      </w:rPr>
      <w:t xml:space="preserve">  </w:t>
    </w:r>
    <w:r>
      <w:drawing>
        <wp:inline distT="0" distB="0" distL="0" distR="0">
          <wp:extent cx="6592570" cy="78740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2837" cy="792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6370DC">
    <w:pPr>
      <w:pStyle w:val="4"/>
    </w:pPr>
    <w:r>
      <w:pict>
        <v:shape id="WordPictureWatermark6745905" o:spid="_x0000_s2074" o:spt="75" type="#_x0000_t75" style="position:absolute;left:0pt;height:107.65pt;width:523.15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INFLEX-LOGO-01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C2E550">
    <w:pPr>
      <w:pStyle w:val="4"/>
    </w:pPr>
    <w:r>
      <w:pict>
        <v:shape id="WordPictureWatermark6745904" o:spid="_x0000_s2073" o:spt="75" type="#_x0000_t75" style="position:absolute;left:0pt;height:107.65pt;width:523.1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INFLEX-LOGO-01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jZTUwMmUwZmJjNDRjZTE4ZjUyNzc3NzViMGVlNzkifQ=="/>
  </w:docVars>
  <w:rsids>
    <w:rsidRoot w:val="00E861FB"/>
    <w:rsid w:val="00077EB0"/>
    <w:rsid w:val="000A6FED"/>
    <w:rsid w:val="000E3C3F"/>
    <w:rsid w:val="000F0436"/>
    <w:rsid w:val="000F6DBE"/>
    <w:rsid w:val="00157367"/>
    <w:rsid w:val="00171EB9"/>
    <w:rsid w:val="0021323A"/>
    <w:rsid w:val="00322832"/>
    <w:rsid w:val="00396D75"/>
    <w:rsid w:val="003B0A27"/>
    <w:rsid w:val="003E3B8F"/>
    <w:rsid w:val="00466487"/>
    <w:rsid w:val="00513DB2"/>
    <w:rsid w:val="005F0BF2"/>
    <w:rsid w:val="00606F61"/>
    <w:rsid w:val="00621927"/>
    <w:rsid w:val="0066084C"/>
    <w:rsid w:val="006E73EA"/>
    <w:rsid w:val="00721E27"/>
    <w:rsid w:val="007B752C"/>
    <w:rsid w:val="007E26A4"/>
    <w:rsid w:val="007F1C8F"/>
    <w:rsid w:val="007F6058"/>
    <w:rsid w:val="00806AB9"/>
    <w:rsid w:val="008201E7"/>
    <w:rsid w:val="00822F66"/>
    <w:rsid w:val="00853DAE"/>
    <w:rsid w:val="008872C3"/>
    <w:rsid w:val="008B09D7"/>
    <w:rsid w:val="008E2276"/>
    <w:rsid w:val="00953E43"/>
    <w:rsid w:val="009F4618"/>
    <w:rsid w:val="009F6009"/>
    <w:rsid w:val="00AB1E91"/>
    <w:rsid w:val="00AB7425"/>
    <w:rsid w:val="00AF792A"/>
    <w:rsid w:val="00B02D39"/>
    <w:rsid w:val="00B85DDF"/>
    <w:rsid w:val="00BD321A"/>
    <w:rsid w:val="00C10B14"/>
    <w:rsid w:val="00C261BF"/>
    <w:rsid w:val="00C46C6B"/>
    <w:rsid w:val="00C46E52"/>
    <w:rsid w:val="00C8725A"/>
    <w:rsid w:val="00C93254"/>
    <w:rsid w:val="00CB3F6C"/>
    <w:rsid w:val="00CD6E8F"/>
    <w:rsid w:val="00D13ADC"/>
    <w:rsid w:val="00DB63E0"/>
    <w:rsid w:val="00DD5808"/>
    <w:rsid w:val="00E3261A"/>
    <w:rsid w:val="00E67D0D"/>
    <w:rsid w:val="00E861FB"/>
    <w:rsid w:val="00EF6676"/>
    <w:rsid w:val="00F5329B"/>
    <w:rsid w:val="00F544A3"/>
    <w:rsid w:val="00F62536"/>
    <w:rsid w:val="00F92B70"/>
    <w:rsid w:val="00FD327B"/>
    <w:rsid w:val="06C81E28"/>
    <w:rsid w:val="60303760"/>
    <w:rsid w:val="641A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  <w:style w:type="table" w:customStyle="1" w:styleId="10">
    <w:name w:val="浅色底纹1"/>
    <w:basedOn w:val="5"/>
    <w:qFormat/>
    <w:uiPriority w:val="60"/>
    <w:rPr>
      <w:rFonts w:ascii="Times New Roman" w:hAnsi="Times New Roman" w:eastAsia="宋体" w:cs="Times New Roman"/>
      <w:color w:val="000000"/>
      <w:kern w:val="0"/>
      <w:sz w:val="20"/>
      <w:szCs w:val="2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beforeLines="0" w:beforeAutospacing="0" w:after="0" w:afterLines="0" w:afterAutospacing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75"/>
    <customShpInfo spid="_x0000_s2074"/>
    <customShpInfo spid="_x0000_s207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710840-E452-4BD1-9A86-4A8ED72A18C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760</Words>
  <Characters>999</Characters>
  <Lines>7</Lines>
  <Paragraphs>2</Paragraphs>
  <TotalTime>4</TotalTime>
  <ScaleCrop>false</ScaleCrop>
  <LinksUpToDate>false</LinksUpToDate>
  <CharactersWithSpaces>1024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2018-10-24T08:40:00Z</dcterms:created>
  <dc:creator>Qin Yu-秦超(NAR)</dc:creator>
  <cp:lastModifiedBy>006152</cp:lastModifiedBy>
  <cp:lastPrinted>2018-08-20T01:40:00Z</cp:lastPrinted>
  <dcterms:modified xsi:type="dcterms:W3CDTF">2025-07-04T08:14:17Z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61B1F7B2A5954F6AA940B5B3F467ED3C_13</vt:lpwstr>
  </property>
</Properties>
</file>