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80" w:lineRule="exact"/>
        <w:rPr>
          <w:rFonts w:hint="eastAsia" w:ascii="Arial" w:hAnsi="Arial" w:cs="Arial"/>
          <w:b/>
          <w:color w:val="005BAC"/>
          <w:sz w:val="18"/>
          <w:szCs w:val="36"/>
        </w:rPr>
      </w:pPr>
    </w:p>
    <w:p>
      <w:pPr>
        <w:spacing w:line="0" w:lineRule="atLeast"/>
        <w:rPr>
          <w:rFonts w:hint="eastAsia" w:ascii="Arial" w:hAnsi="Arial" w:cs="Arial" w:eastAsiaTheme="minorEastAsia"/>
          <w:b/>
          <w:color w:val="005BAC"/>
          <w:sz w:val="36"/>
          <w:szCs w:val="36"/>
          <w:lang w:val="en-US" w:eastAsia="zh-CN"/>
        </w:rPr>
      </w:pPr>
      <w:r>
        <w:rPr>
          <w:rFonts w:hint="eastAsia" w:ascii="Arial" w:hAnsi="Arial" w:cs="Arial"/>
          <w:b/>
          <w:color w:val="005BAC"/>
          <w:sz w:val="36"/>
          <w:szCs w:val="36"/>
        </w:rPr>
        <w:t>N</w:t>
      </w:r>
      <w:r>
        <w:rPr>
          <w:rFonts w:hint="eastAsia" w:ascii="Arial" w:hAnsi="Arial" w:cs="Arial"/>
          <w:b/>
          <w:color w:val="005BAC"/>
          <w:sz w:val="36"/>
          <w:szCs w:val="36"/>
          <w:lang w:val="en-US" w:eastAsia="zh-CN"/>
        </w:rPr>
        <w:t>D</w:t>
      </w:r>
      <w:r>
        <w:rPr>
          <w:rFonts w:hint="eastAsia" w:ascii="Arial" w:hAnsi="Arial" w:cs="Arial"/>
          <w:b/>
          <w:color w:val="005BAC"/>
          <w:sz w:val="36"/>
          <w:szCs w:val="36"/>
        </w:rPr>
        <w:t>3</w:t>
      </w:r>
      <w:r>
        <w:rPr>
          <w:rFonts w:hint="eastAsia" w:ascii="Arial" w:hAnsi="Arial" w:cs="Arial"/>
          <w:b/>
          <w:color w:val="005BAC"/>
          <w:sz w:val="36"/>
          <w:szCs w:val="36"/>
          <w:lang w:val="en-US" w:eastAsia="zh-CN"/>
        </w:rPr>
        <w:t>080</w:t>
      </w:r>
      <w:r>
        <w:rPr>
          <w:rFonts w:hint="eastAsia" w:ascii="Arial" w:hAnsi="Arial" w:cs="Arial"/>
          <w:b/>
          <w:color w:val="005BAC"/>
          <w:sz w:val="36"/>
          <w:szCs w:val="36"/>
        </w:rPr>
        <w:t>G</w:t>
      </w:r>
    </w:p>
    <w:p>
      <w:pPr>
        <w:spacing w:line="280" w:lineRule="exact"/>
        <w:rPr>
          <w:rFonts w:hint="default" w:ascii="微软雅黑" w:hAnsi="微软雅黑" w:eastAsia="微软雅黑" w:cs="Arial"/>
          <w:b/>
          <w:color w:val="005BA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Arial"/>
          <w:b/>
          <w:color w:val="005BAC"/>
          <w:sz w:val="24"/>
          <w:szCs w:val="24"/>
          <w:lang w:val="en-US" w:eastAsia="zh-CN"/>
        </w:rPr>
        <w:t>金</w:t>
      </w:r>
      <w:r>
        <w:rPr>
          <w:rFonts w:hint="eastAsia" w:ascii="微软雅黑" w:hAnsi="微软雅黑" w:eastAsia="微软雅黑" w:cs="Arial"/>
          <w:b/>
          <w:color w:val="005BAC"/>
          <w:sz w:val="24"/>
          <w:szCs w:val="24"/>
        </w:rPr>
        <w:t>色刻字帖</w:t>
      </w:r>
      <w:r>
        <w:rPr>
          <w:rFonts w:hint="eastAsia" w:ascii="微软雅黑" w:hAnsi="微软雅黑" w:eastAsia="微软雅黑" w:cs="Arial"/>
          <w:b/>
          <w:color w:val="005BAC"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Arial"/>
          <w:b/>
          <w:color w:val="005BAC"/>
          <w:sz w:val="24"/>
          <w:szCs w:val="24"/>
          <w:lang w:val="en-US" w:eastAsia="zh-CN"/>
        </w:rPr>
        <w:t>三年期）</w:t>
      </w:r>
    </w:p>
    <w:p>
      <w:pPr>
        <w:spacing w:line="320" w:lineRule="exact"/>
        <w:rPr>
          <w:rFonts w:ascii="Tahoma" w:hAnsi="Tahoma" w:cs="Tahoma"/>
          <w:sz w:val="18"/>
          <w:szCs w:val="21"/>
        </w:rPr>
      </w:pPr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产品描述： </w:t>
      </w:r>
    </w:p>
    <w:p>
      <w:pPr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</w:rPr>
        <w:t>面膜：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微软雅黑" w:hAnsi="微软雅黑" w:eastAsia="微软雅黑"/>
          <w:sz w:val="18"/>
          <w:szCs w:val="18"/>
        </w:rPr>
        <w:t>micron PVC</w:t>
      </w:r>
      <w:r>
        <w:rPr>
          <w:rFonts w:hint="eastAsia" w:ascii="微软雅黑" w:hAnsi="微软雅黑" w:eastAsia="微软雅黑"/>
          <w:sz w:val="18"/>
          <w:szCs w:val="18"/>
          <w:lang w:val="en-US" w:eastAsia="zh-CN"/>
        </w:rPr>
        <w:t>金色光</w:t>
      </w:r>
      <w:r>
        <w:rPr>
          <w:rFonts w:hint="eastAsia" w:ascii="微软雅黑" w:hAnsi="微软雅黑" w:eastAsia="微软雅黑"/>
          <w:sz w:val="18"/>
          <w:szCs w:val="18"/>
        </w:rPr>
        <w:t>膜；</w:t>
      </w:r>
    </w:p>
    <w:p>
      <w:pPr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</w:rPr>
        <w:t>胶水：</w:t>
      </w:r>
      <w:r>
        <w:rPr>
          <w:rFonts w:hint="eastAsia" w:ascii="微软雅黑" w:hAnsi="微软雅黑" w:eastAsia="微软雅黑"/>
          <w:sz w:val="18"/>
          <w:szCs w:val="18"/>
          <w:lang w:val="en-US" w:eastAsia="zh-CN"/>
        </w:rPr>
        <w:t>可移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透明胶</w:t>
      </w:r>
    </w:p>
    <w:p>
      <w:pPr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</w:rPr>
        <w:t>底纸：1</w:t>
      </w:r>
      <w:r>
        <w:rPr>
          <w:rFonts w:hint="eastAsia" w:ascii="微软雅黑" w:hAnsi="微软雅黑" w:eastAsia="微软雅黑"/>
          <w:sz w:val="18"/>
          <w:szCs w:val="18"/>
          <w:lang w:val="en-US" w:eastAsia="zh-CN"/>
        </w:rPr>
        <w:t>4</w:t>
      </w:r>
      <w:r>
        <w:rPr>
          <w:rFonts w:hint="eastAsia" w:ascii="微软雅黑" w:hAnsi="微软雅黑" w:eastAsia="微软雅黑"/>
          <w:sz w:val="18"/>
          <w:szCs w:val="18"/>
        </w:rPr>
        <w:t>0gsm单面PEK白硅纸</w:t>
      </w:r>
    </w:p>
    <w:p>
      <w:pPr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</w:rPr>
        <w:t>宽幅：</w:t>
      </w:r>
      <w:r>
        <w:rPr>
          <w:rFonts w:hint="eastAsia" w:ascii="微软雅黑" w:hAnsi="微软雅黑" w:eastAsia="微软雅黑"/>
          <w:sz w:val="18"/>
          <w:szCs w:val="18"/>
          <w:lang w:val="en-US" w:eastAsia="zh-CN"/>
        </w:rPr>
        <w:t>1.22</w:t>
      </w:r>
      <w:r>
        <w:rPr>
          <w:rFonts w:hint="eastAsia" w:ascii="微软雅黑" w:hAnsi="微软雅黑" w:eastAsia="微软雅黑"/>
          <w:sz w:val="18"/>
          <w:szCs w:val="18"/>
        </w:rPr>
        <w:t>m</w:t>
      </w:r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产品特点： </w:t>
      </w:r>
    </w:p>
    <w:p>
      <w:pPr>
        <w:pStyle w:val="12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自带背胶、直接粘贴，操作简单，施工方便。</w:t>
      </w:r>
    </w:p>
    <w:p>
      <w:pPr>
        <w:pStyle w:val="12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色彩鲜艳、个性装饰、遮盖力强。</w:t>
      </w:r>
    </w:p>
    <w:p>
      <w:pPr>
        <w:pStyle w:val="12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PVC面膜，耐脏、防水，户内外耐候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年。</w:t>
      </w:r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产品应用： </w:t>
      </w:r>
    </w:p>
    <w:p>
      <w:pPr>
        <w:autoSpaceDE w:val="0"/>
        <w:autoSpaceDN w:val="0"/>
        <w:adjustRightInd w:val="0"/>
        <w:jc w:val="left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适用于车身装饰、广告刻字、手工DIY、室内与室外装饰等领域。</w:t>
      </w:r>
    </w:p>
    <w:p>
      <w:pPr>
        <w:autoSpaceDE w:val="0"/>
        <w:autoSpaceDN w:val="0"/>
        <w:adjustRightInd w:val="0"/>
        <w:jc w:val="left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本产品不需喷绘，数码雕刻成所需图案，搭配转移膜将所要展示的图案</w:t>
      </w:r>
      <w:r>
        <w:rPr>
          <w:rFonts w:ascii="微软雅黑" w:hAnsi="微软雅黑" w:eastAsia="微软雅黑" w:cs="Tahoma"/>
          <w:sz w:val="18"/>
          <w:szCs w:val="16"/>
        </w:rPr>
        <w:t>转印到被印制的物品之上</w:t>
      </w:r>
      <w:r>
        <w:rPr>
          <w:rFonts w:hint="eastAsia" w:ascii="微软雅黑" w:hAnsi="微软雅黑" w:eastAsia="微软雅黑" w:cs="Tahoma"/>
          <w:sz w:val="18"/>
          <w:szCs w:val="16"/>
        </w:rPr>
        <w:t>。</w:t>
      </w:r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技术参数： </w:t>
      </w:r>
    </w:p>
    <w:p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测试条件：室内温度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23±2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℃、相对湿度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50±5%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，以铝板、玻璃、钢板作为基材测试。</w:t>
      </w:r>
    </w:p>
    <w:tbl>
      <w:tblPr>
        <w:tblStyle w:val="10"/>
        <w:tblW w:w="6805" w:type="dxa"/>
        <w:tblInd w:w="0" w:type="dxa"/>
        <w:tblBorders>
          <w:top w:val="single" w:color="000000" w:sz="8" w:space="0"/>
          <w:left w:val="none" w:color="auto" w:sz="0" w:space="0"/>
          <w:bottom w:val="single" w:color="000000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0"/>
        <w:gridCol w:w="1147"/>
        <w:gridCol w:w="2032"/>
        <w:gridCol w:w="1566"/>
      </w:tblGrid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</w:trPr>
        <w:tc>
          <w:tcPr>
            <w:tcW w:w="2060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  <w:insideH w:val="single" w:sz="8" w:space="0"/>
              <w:insideV w:val="nil"/>
              <w:tl2br w:val="nil"/>
              <w:tr2bl w:val="nil"/>
            </w:tcBorders>
          </w:tcPr>
          <w:p>
            <w:pPr>
              <w:spacing w:before="0" w:beforeLines="0" w:beforeAutospacing="0" w:after="0" w:afterLines="0" w:afterAutospacing="0" w:line="240" w:lineRule="auto"/>
              <w:ind w:firstLine="320"/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/>
                <w:bCs/>
                <w:color w:val="000000"/>
                <w:kern w:val="0"/>
                <w:sz w:val="16"/>
                <w:szCs w:val="18"/>
              </w:rPr>
              <w:t>指标</w:t>
            </w:r>
          </w:p>
        </w:tc>
        <w:tc>
          <w:tcPr>
            <w:tcW w:w="1147" w:type="dxa"/>
            <w:tcBorders>
              <w:top w:val="single" w:color="000000" w:sz="8" w:space="0"/>
              <w:bottom w:val="single" w:color="000000" w:sz="8" w:space="0"/>
              <w:right w:val="nil"/>
              <w:insideH w:val="single" w:sz="8" w:space="0"/>
              <w:insideV w:val="nil"/>
              <w:tl2br w:val="nil"/>
              <w:tr2bl w:val="nil"/>
            </w:tcBorders>
          </w:tcPr>
          <w:p>
            <w:pPr>
              <w:spacing w:before="0" w:beforeLines="0" w:beforeAutospacing="0" w:after="0" w:afterLines="0" w:afterAutospacing="0" w:line="240" w:lineRule="auto"/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/>
                <w:bCs/>
                <w:color w:val="000000"/>
                <w:kern w:val="0"/>
                <w:sz w:val="16"/>
                <w:szCs w:val="18"/>
              </w:rPr>
              <w:t>单位</w:t>
            </w:r>
          </w:p>
        </w:tc>
        <w:tc>
          <w:tcPr>
            <w:tcW w:w="2032" w:type="dxa"/>
            <w:tcBorders>
              <w:top w:val="single" w:color="000000" w:sz="8" w:space="0"/>
              <w:bottom w:val="single" w:color="000000" w:sz="8" w:space="0"/>
              <w:right w:val="nil"/>
              <w:insideH w:val="single" w:sz="8" w:space="0"/>
              <w:insideV w:val="nil"/>
              <w:tl2br w:val="nil"/>
              <w:tr2bl w:val="nil"/>
            </w:tcBorders>
          </w:tcPr>
          <w:p>
            <w:pPr>
              <w:spacing w:before="0" w:beforeLines="0" w:beforeAutospacing="0" w:after="0" w:afterLines="0" w:afterAutospacing="0" w:line="240" w:lineRule="auto"/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/>
                <w:bCs/>
                <w:color w:val="000000"/>
                <w:kern w:val="0"/>
                <w:sz w:val="16"/>
                <w:szCs w:val="18"/>
              </w:rPr>
              <w:t>测试方法</w:t>
            </w:r>
          </w:p>
        </w:tc>
        <w:tc>
          <w:tcPr>
            <w:tcW w:w="1566" w:type="dxa"/>
            <w:tcBorders>
              <w:top w:val="single" w:color="000000" w:sz="8" w:space="0"/>
              <w:bottom w:val="single" w:color="000000" w:sz="8" w:space="0"/>
              <w:right w:val="nil"/>
              <w:insideH w:val="single" w:sz="8" w:space="0"/>
              <w:insideV w:val="nil"/>
              <w:tl2br w:val="nil"/>
              <w:tr2bl w:val="nil"/>
            </w:tcBorders>
          </w:tcPr>
          <w:p>
            <w:pPr>
              <w:spacing w:before="0" w:beforeLines="0" w:beforeAutospacing="0" w:after="0" w:afterLines="0" w:afterAutospacing="0" w:line="240" w:lineRule="auto"/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/>
                <w:bCs/>
                <w:color w:val="000000"/>
                <w:kern w:val="0"/>
                <w:sz w:val="16"/>
                <w:szCs w:val="18"/>
              </w:rPr>
              <w:t>标准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1" w:hRule="atLeast"/>
        </w:trPr>
        <w:tc>
          <w:tcPr>
            <w:tcW w:w="2060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</w:tcPr>
          <w:p>
            <w:pPr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PVC 膜厚度</w:t>
            </w:r>
          </w:p>
          <w:p>
            <w:pP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底纸克重</w:t>
            </w:r>
          </w:p>
          <w:p>
            <w:pPr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成品重量</w:t>
            </w:r>
          </w:p>
          <w:p>
            <w:pPr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光泽度 60°</w:t>
            </w:r>
          </w:p>
          <w:p>
            <w:pPr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初粘力</w:t>
            </w:r>
          </w:p>
          <w:p>
            <w:pP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24h，180°剥离力</w:t>
            </w:r>
          </w:p>
          <w:p>
            <w:pP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尺寸稳定性MD</w:t>
            </w:r>
          </w:p>
          <w:p>
            <w:pP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尺寸稳定性CD</w:t>
            </w:r>
          </w:p>
          <w:p>
            <w:pP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拉伸强度 MD</w:t>
            </w:r>
          </w:p>
          <w:p>
            <w:pPr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拉伸强度 CD</w:t>
            </w:r>
          </w:p>
          <w:p>
            <w:pPr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施工温度</w:t>
            </w:r>
          </w:p>
          <w:p>
            <w:pPr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适用温度</w:t>
            </w:r>
          </w:p>
        </w:tc>
        <w:tc>
          <w:tcPr>
            <w:tcW w:w="1147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</w:tcPr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M</w:t>
            </w:r>
            <w:r>
              <w:rPr>
                <w:rFonts w:hint="eastAsia"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icron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g/m²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g/m²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%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N/25mm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N/25mm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mm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mm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N/25 mm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N/25 mm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6"/>
                <w:szCs w:val="18"/>
              </w:rPr>
              <w:t>℃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6"/>
                <w:szCs w:val="18"/>
              </w:rPr>
              <w:t>℃</w:t>
            </w:r>
          </w:p>
        </w:tc>
        <w:tc>
          <w:tcPr>
            <w:tcW w:w="2032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</w:tcPr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GB/T6672-2001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GB4669-1995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GB4669-1995</w:t>
            </w:r>
          </w:p>
          <w:p>
            <w:pPr>
              <w:tabs>
                <w:tab w:val="right" w:pos="1816"/>
              </w:tabs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GB8807-88</w:t>
            </w: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ab/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FTM</w:t>
            </w:r>
            <w:r>
              <w:rPr>
                <w:rFonts w:hint="eastAsia"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 xml:space="preserve"> </w:t>
            </w: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9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FTM</w:t>
            </w:r>
            <w:r>
              <w:rPr>
                <w:rFonts w:hint="eastAsia"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 xml:space="preserve"> </w:t>
            </w: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1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FTM</w:t>
            </w:r>
            <w:r>
              <w:rPr>
                <w:rFonts w:hint="eastAsia"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 xml:space="preserve"> </w:t>
            </w: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14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FTM</w:t>
            </w:r>
            <w:r>
              <w:rPr>
                <w:rFonts w:hint="eastAsia"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 xml:space="preserve"> </w:t>
            </w: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 xml:space="preserve">14   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GB/T1040.1-2006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GB/T1040.1-2006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1566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</w:tcPr>
          <w:p>
            <w:pP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  <w:p>
            <w:pPr>
              <w:rPr>
                <w:rFonts w:ascii="Tahoma" w:hAnsi="Tahoma" w:eastAsia="宋体" w:cs="Tahoma"/>
                <w:b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  <w:p>
            <w:pP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±20</w:t>
            </w:r>
          </w:p>
          <w:p>
            <w:pPr>
              <w:rPr>
                <w:rFonts w:hint="default" w:ascii="Tahoma" w:hAnsi="Tahoma" w:eastAsia="宋体" w:cs="Tahoma"/>
                <w:bCs/>
                <w:color w:val="000000" w:themeColor="text1"/>
                <w:kern w:val="0"/>
                <w:sz w:val="16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  <w:p>
            <w:pP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  <w:p>
            <w:pPr>
              <w:rPr>
                <w:rFonts w:hint="eastAsia" w:ascii="Tahoma" w:hAnsi="Tahoma" w:eastAsia="宋体" w:cs="Tahoma"/>
                <w:b/>
                <w:color w:val="000000" w:themeColor="text1"/>
                <w:kern w:val="0"/>
                <w:sz w:val="16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  <w:p>
            <w:pPr>
              <w:rPr>
                <w:rFonts w:hint="eastAsia" w:ascii="Tahoma" w:hAnsi="Tahoma" w:eastAsia="宋体" w:cs="Tahoma"/>
                <w:b/>
                <w:color w:val="000000" w:themeColor="text1"/>
                <w:kern w:val="0"/>
                <w:sz w:val="16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≤1.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  <w:p>
            <w:pPr>
              <w:rPr>
                <w:rFonts w:hint="eastAsia" w:ascii="Tahoma" w:hAnsi="Tahoma" w:eastAsia="宋体" w:cs="Tahoma"/>
                <w:b/>
                <w:color w:val="000000" w:themeColor="text1"/>
                <w:kern w:val="0"/>
                <w:sz w:val="16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≤1.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  <w:p>
            <w:pPr>
              <w:rPr>
                <w:rFonts w:ascii="Tahoma" w:hAnsi="Tahoma" w:eastAsia="宋体" w:cs="Tahoma"/>
                <w:b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  <w:p>
            <w:pP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16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Calibri"/>
                <w:color w:val="000000" w:themeColor="text1"/>
                <w:kern w:val="0"/>
                <w:sz w:val="16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宋体" w:cs="Calibri"/>
                <w:color w:val="000000" w:themeColor="text1"/>
                <w:kern w:val="0"/>
                <w:sz w:val="16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imes New Roman" w:hAnsi="Times New Roman" w:eastAsia="宋体" w:cs="Calibri"/>
                <w:color w:val="000000" w:themeColor="text1"/>
                <w:kern w:val="0"/>
                <w:sz w:val="16"/>
                <w:szCs w:val="20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Times New Roman" w:hAnsi="Times New Roman" w:eastAsia="宋体" w:cs="Calibri"/>
                <w:color w:val="000000" w:themeColor="text1"/>
                <w:kern w:val="0"/>
                <w:sz w:val="16"/>
                <w:szCs w:val="20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6"/>
                <w:szCs w:val="20"/>
                <w14:textFill>
                  <w14:solidFill>
                    <w14:schemeClr w14:val="tx1"/>
                  </w14:solidFill>
                </w14:textFill>
              </w:rPr>
              <w:t>℃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-20～+70</w:t>
            </w:r>
          </w:p>
        </w:tc>
      </w:tr>
    </w:tbl>
    <w:p>
      <w:pPr>
        <w:tabs>
          <w:tab w:val="center" w:pos="1301"/>
        </w:tabs>
        <w:rPr>
          <w:b/>
          <w:color w:val="000000" w:themeColor="text1"/>
          <w:sz w:val="16"/>
          <w14:textFill>
            <w14:solidFill>
              <w14:schemeClr w14:val="tx1"/>
            </w14:solidFill>
          </w14:textFill>
        </w:rPr>
      </w:pPr>
      <w:r>
        <w:rPr>
          <w:b/>
          <w:color w:val="000000" w:themeColor="text1"/>
          <w:sz w:val="16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b/>
          <w:color w:val="000000" w:themeColor="text1"/>
          <w:sz w:val="16"/>
          <w14:textFill>
            <w14:solidFill>
              <w14:schemeClr w14:val="tx1"/>
            </w14:solidFill>
          </w14:textFill>
        </w:rPr>
        <w:t>*以上所有参数的变更恕不另行通知</w:t>
      </w:r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仓储条件： </w:t>
      </w:r>
    </w:p>
    <w:p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所有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NAR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的产品需储放在原始包装中用原始的保护材料，建议密封保存，水平放置，叠放层高不宜超过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层，避免阳光直射、热源直接接触。仓储温度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25±5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℃、相对湿度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50±15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%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。在这种条件下，该产品储存期是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18个月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。</w:t>
      </w:r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打印制作要求： </w:t>
      </w:r>
    </w:p>
    <w:p>
      <w:pPr>
        <w:pStyle w:val="11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制作环境：</w:t>
      </w:r>
      <w:r>
        <w:rPr>
          <w:rFonts w:ascii="微软雅黑" w:hAnsi="微软雅黑" w:eastAsia="微软雅黑" w:cstheme="minorHAns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NAR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产品建议在温度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25±5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℃，相对湿度为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50±10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%，洁净无尘、无悬浮物的环境下使用。</w:t>
      </w:r>
    </w:p>
    <w:p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张贴要求：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20±10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℃，相对湿度为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50±10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%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；粘贴于平整、光滑、洁净、表面无浮尘、表皮无脱落的物体表面，贴合必要养护时间需要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小时以上。</w:t>
      </w:r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质保条件： </w:t>
      </w:r>
    </w:p>
    <w:p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、保质期为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36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个月：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刻字贴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产品需满足仓储条件，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年内使用最佳。</w:t>
      </w:r>
    </w:p>
    <w:p>
      <w:pPr>
        <w:pStyle w:val="11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2、追诉期：自产品生产之日起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三年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内，逾期不接受投诉。</w:t>
      </w:r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重要备注： </w:t>
      </w:r>
    </w:p>
    <w:p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NAR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所有有关材料的说明、技术信息及应用推荐是基于我们认为可信的典型性测试结果，</w:t>
      </w:r>
      <w:bookmarkStart w:id="0" w:name="OLE_LINK14"/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不同国家</w:t>
      </w:r>
      <w:bookmarkEnd w:id="0"/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、不同地区有所差异，使用前请先评测是否满足需求。</w:t>
      </w:r>
    </w:p>
    <w:p>
      <w:pPr>
        <w:rPr>
          <w:rFonts w:hint="eastAsia" w:ascii="微软雅黑" w:hAnsi="微软雅黑" w:eastAsia="微软雅黑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本产品不需喷绘，数码雕刻成所需图案，搭配转移膜将所要展示的图案</w:t>
      </w:r>
      <w:r>
        <w:rPr>
          <w:rFonts w:ascii="微软雅黑" w:hAnsi="微软雅黑" w:eastAsia="微软雅黑" w:cs="Tahoma"/>
          <w:sz w:val="18"/>
          <w:szCs w:val="16"/>
        </w:rPr>
        <w:t>转印到被印制的物品之上</w:t>
      </w:r>
      <w:r>
        <w:rPr>
          <w:rFonts w:hint="eastAsia" w:ascii="微软雅黑" w:hAnsi="微软雅黑" w:eastAsia="微软雅黑" w:cs="Tahoma"/>
          <w:sz w:val="18"/>
          <w:szCs w:val="16"/>
          <w:lang w:eastAsia="zh-CN"/>
        </w:rPr>
        <w:t>。</w:t>
      </w:r>
    </w:p>
    <w:p>
      <w:pPr>
        <w:autoSpaceDE w:val="0"/>
        <w:autoSpaceDN w:val="0"/>
        <w:jc w:val="left"/>
        <w:rPr>
          <w:rFonts w:ascii="宋体" w:hAnsi="宋体" w:cs="宋体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color w:val="FFFFFF" w:themeColor="background1"/>
          <w:shd w:val="clear" w:color="auto" w:fill="005BAC"/>
          <w14:textFill>
            <w14:solidFill>
              <w14:schemeClr w14:val="bg1"/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b/>
          <w:color w:val="FFFFFF" w:themeColor="background1"/>
          <w:sz w:val="24"/>
          <w:shd w:val="clear" w:color="auto" w:fill="005BAC"/>
          <w14:textFill>
            <w14:solidFill>
              <w14:schemeClr w14:val="bg1"/>
            </w14:solidFill>
          </w14:textFill>
        </w:rPr>
        <w:t xml:space="preserve"> 产品应用：</w:t>
      </w:r>
    </w:p>
    <w:p/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720" w:right="720" w:bottom="567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drawing>
        <wp:inline distT="0" distB="0" distL="0" distR="0">
          <wp:extent cx="6592570" cy="88265"/>
          <wp:effectExtent l="0" t="0" r="0" b="6985"/>
          <wp:docPr id="4" name="图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92837" cy="883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9255775" o:spid="_x0000_s4098" o:spt="75" type="#_x0000_t75" style="position:absolute;left:0pt;height:188.75pt;width:398.7pt;mso-position-horizontal:center;mso-position-horizontal-relative:margin;mso-position-vertical:center;mso-position-vertical-relative:margin;z-index:-251655168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纳尔logo英文"/>
          <o:lock v:ext="edit" aspectratio="t"/>
        </v:shape>
      </w:pict>
    </w:r>
    <w:r>
      <w:drawing>
        <wp:inline distT="0" distB="0" distL="0" distR="0">
          <wp:extent cx="6583680" cy="423545"/>
          <wp:effectExtent l="0" t="0" r="0" b="0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83693" cy="423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9255774" o:spid="_x0000_s4099" o:spt="75" type="#_x0000_t75" style="position:absolute;left:0pt;height:188.75pt;width:398.7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纳尔logo英文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9255773" o:spid="_x0000_s4097" o:spt="75" type="#_x0000_t75" style="position:absolute;left:0pt;height:188.75pt;width:398.7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纳尔logo英文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2F6F24"/>
    <w:multiLevelType w:val="multilevel"/>
    <w:tmpl w:val="7C2F6F24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RjZTUwMmUwZmJjNDRjZTE4ZjUyNzc3NzViMGVlNzkifQ=="/>
  </w:docVars>
  <w:rsids>
    <w:rsidRoot w:val="00E861FB"/>
    <w:rsid w:val="000E04FC"/>
    <w:rsid w:val="001125C3"/>
    <w:rsid w:val="00185819"/>
    <w:rsid w:val="001D53E2"/>
    <w:rsid w:val="00287969"/>
    <w:rsid w:val="003001B4"/>
    <w:rsid w:val="00315FCF"/>
    <w:rsid w:val="00347532"/>
    <w:rsid w:val="00350D61"/>
    <w:rsid w:val="003E3B8F"/>
    <w:rsid w:val="00416D68"/>
    <w:rsid w:val="00466487"/>
    <w:rsid w:val="00467E43"/>
    <w:rsid w:val="00484BF8"/>
    <w:rsid w:val="00513DB2"/>
    <w:rsid w:val="00521AC2"/>
    <w:rsid w:val="005863C0"/>
    <w:rsid w:val="005C2E2C"/>
    <w:rsid w:val="005E5C23"/>
    <w:rsid w:val="005F0BF2"/>
    <w:rsid w:val="00621927"/>
    <w:rsid w:val="006B4213"/>
    <w:rsid w:val="007011BC"/>
    <w:rsid w:val="00755FFA"/>
    <w:rsid w:val="007B1B7C"/>
    <w:rsid w:val="007F1C8F"/>
    <w:rsid w:val="007F6058"/>
    <w:rsid w:val="0087133A"/>
    <w:rsid w:val="008B09D7"/>
    <w:rsid w:val="008C607E"/>
    <w:rsid w:val="008E1764"/>
    <w:rsid w:val="008E2276"/>
    <w:rsid w:val="00953E43"/>
    <w:rsid w:val="009A3BBF"/>
    <w:rsid w:val="009B39EB"/>
    <w:rsid w:val="00A33083"/>
    <w:rsid w:val="00A5290A"/>
    <w:rsid w:val="00A55905"/>
    <w:rsid w:val="00A9778E"/>
    <w:rsid w:val="00A97BE3"/>
    <w:rsid w:val="00AB1E91"/>
    <w:rsid w:val="00AD3F78"/>
    <w:rsid w:val="00AF792A"/>
    <w:rsid w:val="00B02D39"/>
    <w:rsid w:val="00B85DDF"/>
    <w:rsid w:val="00BB2D0E"/>
    <w:rsid w:val="00BB7255"/>
    <w:rsid w:val="00BD321A"/>
    <w:rsid w:val="00C46C6B"/>
    <w:rsid w:val="00C46E52"/>
    <w:rsid w:val="00C50664"/>
    <w:rsid w:val="00C91CA9"/>
    <w:rsid w:val="00C96597"/>
    <w:rsid w:val="00CB3F6C"/>
    <w:rsid w:val="00D13ADC"/>
    <w:rsid w:val="00D612C2"/>
    <w:rsid w:val="00DA36AF"/>
    <w:rsid w:val="00DD5808"/>
    <w:rsid w:val="00E324C1"/>
    <w:rsid w:val="00E67D0D"/>
    <w:rsid w:val="00E8135C"/>
    <w:rsid w:val="00E861FB"/>
    <w:rsid w:val="00EF6676"/>
    <w:rsid w:val="00F92B70"/>
    <w:rsid w:val="00FD41B4"/>
    <w:rsid w:val="02A653FD"/>
    <w:rsid w:val="0A1C3A51"/>
    <w:rsid w:val="0F4B6C91"/>
    <w:rsid w:val="1A173EC9"/>
    <w:rsid w:val="21C553D1"/>
    <w:rsid w:val="23AD0BA8"/>
    <w:rsid w:val="23DE310D"/>
    <w:rsid w:val="27CC6DFA"/>
    <w:rsid w:val="45DC56FB"/>
    <w:rsid w:val="5244576B"/>
    <w:rsid w:val="5339510F"/>
    <w:rsid w:val="59506972"/>
    <w:rsid w:val="5C451083"/>
    <w:rsid w:val="5C9F3872"/>
    <w:rsid w:val="6F8D20DB"/>
    <w:rsid w:val="736E6F7E"/>
    <w:rsid w:val="7ADF78D1"/>
    <w:rsid w:val="7E617263"/>
    <w:rsid w:val="7EC17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  <w:style w:type="table" w:customStyle="1" w:styleId="10">
    <w:name w:val="浅色底纹1"/>
    <w:basedOn w:val="5"/>
    <w:qFormat/>
    <w:uiPriority w:val="60"/>
    <w:rPr>
      <w:rFonts w:ascii="Times New Roman" w:hAnsi="Times New Roman" w:eastAsia="宋体" w:cs="Times New Roman"/>
      <w:color w:val="000000"/>
      <w:kern w:val="0"/>
      <w:sz w:val="20"/>
      <w:szCs w:val="20"/>
    </w:rPr>
    <w:tblPr>
      <w:tblBorders>
        <w:top w:val="single" w:color="000000" w:sz="8" w:space="0"/>
        <w:bottom w:val="single" w:color="000000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beforeLines="0" w:beforeAutospacing="0" w:after="0" w:afterLines="0" w:afterAutospacing="0" w:line="240" w:lineRule="auto"/>
      </w:pPr>
      <w:rPr>
        <w:b/>
        <w:bCs/>
      </w:r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beforeLines="0" w:beforeAutospacing="0" w:after="0" w:afterLines="0" w:afterAutospacing="0" w:line="240" w:lineRule="auto"/>
      </w:pPr>
      <w:rPr>
        <w:b/>
        <w:bCs/>
      </w:r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</w:tcPr>
    </w:tblStyle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kern w:val="0"/>
      <w:sz w:val="24"/>
      <w:szCs w:val="24"/>
      <w:lang w:val="en-US" w:eastAsia="zh-CN" w:bidi="ar-SA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GI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9"/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10272F-70E9-4486-B4BE-5B151D923BB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742</Words>
  <Characters>954</Characters>
  <Lines>7</Lines>
  <Paragraphs>2</Paragraphs>
  <TotalTime>505</TotalTime>
  <ScaleCrop>false</ScaleCrop>
  <LinksUpToDate>false</LinksUpToDate>
  <CharactersWithSpaces>996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2018-08-27T01:43:00Z</dcterms:created>
  <dc:creator>Qin Yu-秦超(NAR)</dc:creator>
  <cp:lastModifiedBy>波波</cp:lastModifiedBy>
  <cp:lastPrinted>2018-08-20T01:40:00Z</cp:lastPrinted>
  <dcterms:modified xsi:type="dcterms:W3CDTF">2023-10-12T07:23:22Z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BFB8B4305F2A4532909D95566FD7640B</vt:lpwstr>
  </property>
</Properties>
</file>