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C0E52">
      <w:pPr>
        <w:spacing w:line="0" w:lineRule="atLeast"/>
        <w:rPr>
          <w:rFonts w:ascii="Arial" w:hAnsi="Arial" w:cs="Arial"/>
          <w:b/>
          <w:color w:val="005BAC"/>
          <w:sz w:val="18"/>
          <w:szCs w:val="36"/>
        </w:rPr>
      </w:pPr>
      <w:bookmarkStart w:id="0" w:name="_GoBack"/>
      <w:bookmarkEnd w:id="0"/>
    </w:p>
    <w:p w14:paraId="3DE3F422">
      <w:pPr>
        <w:spacing w:line="0" w:lineRule="atLeast"/>
        <w:rPr>
          <w:rFonts w:hint="default" w:ascii="Arial" w:hAnsi="Arial" w:eastAsia="微软雅黑" w:cs="Arial"/>
          <w:b/>
          <w:color w:val="005BAC"/>
          <w:sz w:val="36"/>
          <w:szCs w:val="36"/>
          <w:lang w:val="en-US" w:eastAsia="zh-CN"/>
        </w:rPr>
      </w:pPr>
      <w:r>
        <w:rPr>
          <w:rFonts w:ascii="Arial" w:hAnsi="Arial" w:eastAsia="微软雅黑" w:cs="Arial"/>
          <w:b/>
          <w:color w:val="005BAC"/>
          <w:sz w:val="36"/>
          <w:szCs w:val="36"/>
        </w:rPr>
        <w:t>N</w:t>
      </w:r>
      <w:r>
        <w:rPr>
          <w:rFonts w:hint="eastAsia" w:ascii="Arial" w:hAnsi="Arial" w:eastAsia="微软雅黑" w:cs="Arial"/>
          <w:b/>
          <w:color w:val="005BAC"/>
          <w:sz w:val="36"/>
          <w:szCs w:val="36"/>
          <w:lang w:val="en-US" w:eastAsia="zh-CN"/>
        </w:rPr>
        <w:t>D</w:t>
      </w:r>
      <w:r>
        <w:rPr>
          <w:rFonts w:hint="eastAsia" w:ascii="Arial" w:hAnsi="Arial" w:eastAsia="微软雅黑" w:cs="Arial"/>
          <w:b/>
          <w:color w:val="005BAC"/>
          <w:sz w:val="36"/>
          <w:szCs w:val="36"/>
        </w:rPr>
        <w:t>43</w:t>
      </w:r>
      <w:r>
        <w:rPr>
          <w:rFonts w:hint="eastAsia" w:ascii="Arial" w:hAnsi="Arial" w:eastAsia="微软雅黑" w:cs="Arial"/>
          <w:b/>
          <w:color w:val="005BAC"/>
          <w:sz w:val="36"/>
          <w:szCs w:val="36"/>
          <w:lang w:val="en-US" w:eastAsia="zh-CN"/>
        </w:rPr>
        <w:t>30</w:t>
      </w:r>
    </w:p>
    <w:p w14:paraId="5D74338D">
      <w:pPr>
        <w:spacing w:line="0" w:lineRule="atLeast"/>
        <w:rPr>
          <w:rFonts w:hint="default" w:ascii="Arial" w:hAnsi="Arial" w:eastAsia="微软雅黑" w:cs="Arial"/>
          <w:b/>
          <w:color w:val="005BAC"/>
          <w:sz w:val="24"/>
          <w:szCs w:val="24"/>
          <w:lang w:val="en-US" w:eastAsia="zh-CN"/>
        </w:rPr>
      </w:pPr>
      <w:r>
        <w:rPr>
          <w:rFonts w:hint="eastAsia" w:ascii="Arial" w:hAnsi="Arial" w:eastAsia="微软雅黑" w:cs="Arial"/>
          <w:b/>
          <w:color w:val="005BAC"/>
          <w:sz w:val="24"/>
          <w:szCs w:val="24"/>
        </w:rPr>
        <w:t>闪银点灰色</w:t>
      </w:r>
      <w:r>
        <w:rPr>
          <w:rFonts w:ascii="Arial" w:hAnsi="Arial" w:eastAsia="微软雅黑" w:cs="Arial"/>
          <w:b/>
          <w:color w:val="005BAC"/>
          <w:sz w:val="24"/>
          <w:szCs w:val="24"/>
        </w:rPr>
        <w:t>窗花</w:t>
      </w:r>
      <w:r>
        <w:rPr>
          <w:rFonts w:hint="eastAsia" w:ascii="Arial" w:hAnsi="Arial" w:eastAsia="微软雅黑" w:cs="Arial"/>
          <w:b/>
          <w:color w:val="005BAC"/>
          <w:sz w:val="24"/>
          <w:szCs w:val="24"/>
        </w:rPr>
        <w:t>贴</w:t>
      </w:r>
      <w:r>
        <w:rPr>
          <w:rFonts w:hint="eastAsia" w:ascii="Arial" w:hAnsi="Arial" w:eastAsia="微软雅黑" w:cs="Arial"/>
          <w:b/>
          <w:color w:val="005BAC"/>
          <w:sz w:val="24"/>
          <w:szCs w:val="24"/>
          <w:lang w:eastAsia="zh-CN"/>
        </w:rPr>
        <w:t>（</w:t>
      </w:r>
      <w:r>
        <w:rPr>
          <w:rFonts w:hint="eastAsia" w:ascii="Arial" w:hAnsi="Arial" w:eastAsia="微软雅黑" w:cs="Arial"/>
          <w:b/>
          <w:color w:val="005BAC"/>
          <w:sz w:val="24"/>
          <w:szCs w:val="24"/>
          <w:lang w:val="en-US" w:eastAsia="zh-CN"/>
        </w:rPr>
        <w:t>三年期）</w:t>
      </w:r>
    </w:p>
    <w:p w14:paraId="7EC08130">
      <w:pPr>
        <w:pStyle w:val="11"/>
        <w:rPr>
          <w:rFonts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  <w:t xml:space="preserve">  产品描述： </w:t>
      </w:r>
    </w:p>
    <w:p w14:paraId="48B61F93">
      <w:pPr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sz w:val="18"/>
          <w:szCs w:val="18"/>
        </w:rPr>
        <w:t>面膜：</w:t>
      </w:r>
      <w:r>
        <w:rPr>
          <w:rFonts w:hint="eastAsia" w:ascii="微软雅黑" w:hAnsi="微软雅黑" w:eastAsia="微软雅黑"/>
          <w:sz w:val="18"/>
          <w:szCs w:val="18"/>
          <w:lang w:val="en-US" w:eastAsia="zh-CN"/>
        </w:rPr>
        <w:t>9</w:t>
      </w:r>
      <w:r>
        <w:rPr>
          <w:rFonts w:hint="eastAsia" w:ascii="微软雅黑" w:hAnsi="微软雅黑" w:eastAsia="微软雅黑"/>
          <w:sz w:val="18"/>
          <w:szCs w:val="18"/>
        </w:rPr>
        <w:t>0micron PVC</w:t>
      </w:r>
      <w:r>
        <w:rPr>
          <w:rFonts w:hint="eastAsia" w:ascii="微软雅黑" w:hAnsi="微软雅黑" w:eastAsia="微软雅黑"/>
          <w:sz w:val="18"/>
          <w:szCs w:val="18"/>
          <w:lang w:val="en-US" w:eastAsia="zh-CN"/>
        </w:rPr>
        <w:t>高分子</w:t>
      </w:r>
      <w:r>
        <w:rPr>
          <w:rFonts w:hint="eastAsia" w:ascii="微软雅黑" w:hAnsi="微软雅黑" w:eastAsia="微软雅黑"/>
          <w:sz w:val="18"/>
          <w:szCs w:val="18"/>
        </w:rPr>
        <w:t>灰色闪点膜；</w:t>
      </w:r>
    </w:p>
    <w:p w14:paraId="4A202C30">
      <w:pP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胶水：透明胶；</w:t>
      </w:r>
    </w:p>
    <w:p w14:paraId="56AFBF54">
      <w:pP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底纸：1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0gsm单面PEK白硅纸</w:t>
      </w:r>
    </w:p>
    <w:p w14:paraId="74E6227B">
      <w:pP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宽幅：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1.22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/1.27/1.37/1.52m</w:t>
      </w:r>
    </w:p>
    <w:p w14:paraId="4A9F6BD4">
      <w:pPr>
        <w:pStyle w:val="11"/>
        <w:rPr>
          <w:rFonts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  <w:t xml:space="preserve">  产品特点： </w:t>
      </w:r>
    </w:p>
    <w:p w14:paraId="7912C818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hint="eastAsia" w:ascii="微软雅黑" w:hAnsi="微软雅黑" w:eastAsia="微软雅黑" w:cs="Tahoma"/>
          <w:color w:val="000000" w:themeColor="text1"/>
          <w:kern w:val="0"/>
          <w:sz w:val="18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Tahoma"/>
          <w:kern w:val="0"/>
          <w:sz w:val="18"/>
          <w:szCs w:val="16"/>
        </w:rPr>
        <w:t>遮光、保护个人隐私等功能</w:t>
      </w:r>
      <w:r>
        <w:rPr>
          <w:rFonts w:hint="eastAsia" w:ascii="微软雅黑" w:hAnsi="微软雅黑" w:eastAsia="微软雅黑" w:cs="Tahoma"/>
          <w:color w:val="000000" w:themeColor="text1"/>
          <w:kern w:val="0"/>
          <w:sz w:val="18"/>
          <w:szCs w:val="16"/>
          <w14:textFill>
            <w14:solidFill>
              <w14:schemeClr w14:val="tx1"/>
            </w14:solidFill>
          </w14:textFill>
        </w:rPr>
        <w:t>；</w:t>
      </w:r>
    </w:p>
    <w:p w14:paraId="3FE6F755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hint="eastAsia" w:ascii="微软雅黑" w:hAnsi="微软雅黑" w:eastAsia="微软雅黑" w:cs="Tahoma"/>
          <w:color w:val="000000" w:themeColor="text1"/>
          <w:kern w:val="0"/>
          <w:sz w:val="18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Tahoma"/>
          <w:color w:val="000000" w:themeColor="text1"/>
          <w:kern w:val="0"/>
          <w:sz w:val="18"/>
          <w:szCs w:val="16"/>
          <w:lang w:val="en-US" w:eastAsia="zh-CN"/>
          <w14:textFill>
            <w14:solidFill>
              <w14:schemeClr w14:val="tx1"/>
            </w14:solidFill>
          </w14:textFill>
        </w:rPr>
        <w:t>产品尺寸稳定性好，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适用于大部分介质表面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754C5B38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hint="eastAsia" w:ascii="微软雅黑" w:hAnsi="微软雅黑" w:eastAsia="微软雅黑" w:cs="Tahoma"/>
          <w:color w:val="000000" w:themeColor="text1"/>
          <w:kern w:val="0"/>
          <w:sz w:val="18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sz w:val="18"/>
          <w:szCs w:val="18"/>
        </w:rPr>
        <w:t>高分子面膜，使用期限长；</w:t>
      </w:r>
    </w:p>
    <w:p w14:paraId="41FEC7F2">
      <w:pPr>
        <w:pStyle w:val="11"/>
        <w:rPr>
          <w:rFonts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  <w:t xml:space="preserve">  产品应用： </w:t>
      </w:r>
    </w:p>
    <w:p w14:paraId="7776F47D">
      <w:pPr>
        <w:rPr>
          <w:rFonts w:hint="eastAsia" w:ascii="微软雅黑" w:hAnsi="微软雅黑" w:eastAsia="微软雅黑"/>
          <w:sz w:val="18"/>
          <w:lang w:val="en-US" w:eastAsia="zh-CN"/>
        </w:rPr>
      </w:pPr>
      <w:r>
        <w:rPr>
          <w:rFonts w:hint="eastAsia" w:ascii="微软雅黑" w:hAnsi="微软雅黑" w:eastAsia="微软雅黑"/>
          <w:sz w:val="18"/>
        </w:rPr>
        <w:t>适用于</w:t>
      </w:r>
      <w:r>
        <w:rPr>
          <w:rFonts w:hint="eastAsia" w:ascii="微软雅黑" w:hAnsi="微软雅黑" w:eastAsia="微软雅黑"/>
          <w:sz w:val="18"/>
          <w:szCs w:val="16"/>
        </w:rPr>
        <w:t>玻璃应用，同时也可适用于透明</w:t>
      </w:r>
      <w:r>
        <w:rPr>
          <w:rFonts w:hint="eastAsia" w:ascii="微软雅黑" w:hAnsi="微软雅黑" w:eastAsia="微软雅黑"/>
          <w:sz w:val="18"/>
        </w:rPr>
        <w:t>亚克力板、PVC、PET透明板等</w:t>
      </w:r>
      <w:r>
        <w:rPr>
          <w:rFonts w:hint="eastAsia" w:ascii="微软雅黑" w:hAnsi="微软雅黑" w:eastAsia="微软雅黑"/>
          <w:sz w:val="18"/>
          <w:lang w:val="en-US" w:eastAsia="zh-CN"/>
        </w:rPr>
        <w:t>；</w:t>
      </w:r>
    </w:p>
    <w:p w14:paraId="0C2D9197">
      <w:pPr>
        <w:autoSpaceDE w:val="0"/>
        <w:autoSpaceDN w:val="0"/>
        <w:adjustRightInd w:val="0"/>
        <w:jc w:val="left"/>
        <w:rPr>
          <w:rFonts w:hint="default" w:ascii="微软雅黑" w:hAnsi="微软雅黑" w:eastAsia="微软雅黑"/>
          <w:sz w:val="18"/>
          <w:lang w:val="en-US" w:eastAsia="zh-CN"/>
        </w:rPr>
      </w:pP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本产品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不建议打印喷绘，表面未做可喷绘处理。</w:t>
      </w:r>
    </w:p>
    <w:p w14:paraId="502348E9">
      <w:pPr>
        <w:pStyle w:val="11"/>
        <w:rPr>
          <w:rFonts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  <w:t xml:space="preserve">  技术参数： </w:t>
      </w:r>
    </w:p>
    <w:p w14:paraId="1EFF48FB">
      <w:pP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测试条件：室内温度</w:t>
      </w:r>
      <w: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23±2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℃、相对湿度</w:t>
      </w:r>
      <w: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50±5%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，以铝板、玻璃、钢板作为基材测试。</w:t>
      </w:r>
    </w:p>
    <w:tbl>
      <w:tblPr>
        <w:tblStyle w:val="5"/>
        <w:tblW w:w="6793" w:type="dxa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6"/>
        <w:gridCol w:w="1145"/>
        <w:gridCol w:w="2029"/>
        <w:gridCol w:w="1563"/>
      </w:tblGrid>
      <w:tr w14:paraId="4C2951FD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05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2EDB0E47">
            <w:pPr>
              <w:ind w:firstLine="320"/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114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27B64462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02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0F97F82D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测试方法</w:t>
            </w:r>
          </w:p>
        </w:tc>
        <w:tc>
          <w:tcPr>
            <w:tcW w:w="156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2C8FEFFA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标准</w:t>
            </w:r>
          </w:p>
        </w:tc>
      </w:tr>
      <w:tr w14:paraId="27AFF46A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1" w:hRule="atLeast"/>
        </w:trPr>
        <w:tc>
          <w:tcPr>
            <w:tcW w:w="205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532A0BED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PVC 膜厚度</w:t>
            </w:r>
          </w:p>
          <w:p w14:paraId="6089FB34">
            <w:pPr>
              <w:rPr>
                <w:rFonts w:ascii="Tahoma" w:hAnsi="Tahoma" w:cs="Tahoma"/>
                <w:b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底纸克重</w:t>
            </w:r>
          </w:p>
          <w:p w14:paraId="4AD7A8D9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成品重量</w:t>
            </w:r>
          </w:p>
          <w:p w14:paraId="793DEFF0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初粘力</w:t>
            </w:r>
          </w:p>
          <w:p w14:paraId="12F2CA94">
            <w:pPr>
              <w:rPr>
                <w:rFonts w:ascii="Tahoma" w:hAnsi="Tahoma" w:cs="Tahoma"/>
                <w:b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kern w:val="0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24h，180°剥离力</w:t>
            </w:r>
          </w:p>
          <w:p w14:paraId="5F711686">
            <w:pPr>
              <w:rPr>
                <w:rFonts w:ascii="Tahoma" w:hAnsi="Tahoma" w:cs="Tahoma"/>
                <w:b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尺寸稳定性MD</w:t>
            </w:r>
          </w:p>
          <w:p w14:paraId="06504159">
            <w:pPr>
              <w:rPr>
                <w:rFonts w:ascii="Tahoma" w:hAnsi="Tahoma" w:cs="Tahoma"/>
                <w:b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尺寸稳定性CD</w:t>
            </w:r>
          </w:p>
          <w:p w14:paraId="43588F5F">
            <w:pPr>
              <w:rPr>
                <w:rFonts w:ascii="Tahoma" w:hAnsi="Tahoma" w:cs="Tahoma"/>
                <w:b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拉伸强度 MD</w:t>
            </w:r>
          </w:p>
          <w:p w14:paraId="7CFD7AC0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拉伸强度 CD</w:t>
            </w:r>
          </w:p>
          <w:p w14:paraId="53DD40CD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施工温度</w:t>
            </w:r>
          </w:p>
          <w:p w14:paraId="617246BE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适用温度</w:t>
            </w:r>
          </w:p>
        </w:tc>
        <w:tc>
          <w:tcPr>
            <w:tcW w:w="114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56B755F5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icron</w:t>
            </w:r>
          </w:p>
          <w:p w14:paraId="371AF665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g/m²</w:t>
            </w:r>
          </w:p>
          <w:p w14:paraId="34E8C71D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g/m²</w:t>
            </w:r>
          </w:p>
          <w:p w14:paraId="5349500C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N/25mm</w:t>
            </w:r>
          </w:p>
          <w:p w14:paraId="07D20BC3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N/25mm</w:t>
            </w:r>
          </w:p>
          <w:p w14:paraId="2A812BB1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mm</w:t>
            </w:r>
          </w:p>
          <w:p w14:paraId="01603CE3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mm</w:t>
            </w:r>
          </w:p>
          <w:p w14:paraId="3CD2C04B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N/25 mm</w:t>
            </w:r>
          </w:p>
          <w:p w14:paraId="43D7B0DA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N/25 mm</w:t>
            </w:r>
          </w:p>
          <w:p w14:paraId="07BA5F44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℃</w:t>
            </w:r>
          </w:p>
          <w:p w14:paraId="37525CDA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℃</w:t>
            </w:r>
          </w:p>
        </w:tc>
        <w:tc>
          <w:tcPr>
            <w:tcW w:w="202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740E38C3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GB/T6672-2001</w:t>
            </w:r>
          </w:p>
          <w:p w14:paraId="60CC0B51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GB4669-1995</w:t>
            </w:r>
          </w:p>
          <w:p w14:paraId="521D41DD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GB4669-1995</w:t>
            </w:r>
          </w:p>
          <w:p w14:paraId="5092C1EB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FTM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  <w:p w14:paraId="234CBBC4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FTM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  <w:p w14:paraId="0ED2DBB2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FTM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  <w:p w14:paraId="6CC25F9F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FTM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14   </w:t>
            </w:r>
          </w:p>
          <w:p w14:paraId="45F8B9E3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GB/T1040.1-2006</w:t>
            </w:r>
          </w:p>
          <w:p w14:paraId="13F4C7BB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GB/T1040.1-2006</w:t>
            </w:r>
          </w:p>
          <w:p w14:paraId="5D699DC5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7740616D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  <w:p w14:paraId="193E0916">
            <w:pPr>
              <w:rPr>
                <w:rFonts w:ascii="Tahoma" w:hAnsi="Tahoma" w:cs="Tahoma"/>
                <w:b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  <w:p w14:paraId="074BB3ED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±20</w:t>
            </w:r>
          </w:p>
          <w:p w14:paraId="5FE5CA0D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  <w:p w14:paraId="1E4C8BA4">
            <w:pPr>
              <w:rPr>
                <w:rFonts w:hint="eastAsia" w:ascii="Tahoma" w:hAnsi="Tahoma" w:cs="Tahoma" w:eastAsiaTheme="minorEastAsia"/>
                <w:b/>
                <w:color w:val="000000" w:themeColor="text1"/>
                <w:sz w:val="16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  <w:p w14:paraId="005E5374">
            <w:pPr>
              <w:rPr>
                <w:rFonts w:ascii="Tahoma" w:hAnsi="Tahoma" w:cs="Tahoma"/>
                <w:b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≤1.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  <w:p w14:paraId="56C60040">
            <w:pPr>
              <w:rPr>
                <w:rFonts w:ascii="Tahoma" w:hAnsi="Tahoma" w:cs="Tahoma"/>
                <w:b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≤1.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  <w:p w14:paraId="5D708990">
            <w:pPr>
              <w:rPr>
                <w:rFonts w:hint="default" w:ascii="Tahoma" w:hAnsi="Tahoma" w:cs="Tahoma" w:eastAsiaTheme="minorEastAsia"/>
                <w:b/>
                <w:color w:val="000000" w:themeColor="text1"/>
                <w:sz w:val="16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  <w:p w14:paraId="366C7D9E">
            <w:pPr>
              <w:rPr>
                <w:rFonts w:hint="default" w:ascii="Tahoma" w:hAnsi="Tahoma" w:cs="Tahoma" w:eastAsiaTheme="minorEastAsia"/>
                <w:bCs/>
                <w:color w:val="000000" w:themeColor="text1"/>
                <w:sz w:val="16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Tahoma" w:hAnsi="Tahoma" w:cs="Tahoma"/>
                <w:bCs/>
                <w:color w:val="000000" w:themeColor="text1"/>
                <w:sz w:val="16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  <w:p w14:paraId="4596E6A5">
            <w:pPr>
              <w:rPr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Calibri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cs="Calibri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cs="Calibri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±</w:t>
            </w:r>
            <w:r>
              <w:rPr>
                <w:rFonts w:hint="eastAsia" w:cs="Calibri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/>
                <w:color w:val="000000" w:themeColor="text1"/>
                <w:sz w:val="16"/>
                <w14:textFill>
                  <w14:solidFill>
                    <w14:schemeClr w14:val="tx1"/>
                  </w14:solidFill>
                </w14:textFill>
              </w:rPr>
              <w:t>℃</w:t>
            </w:r>
          </w:p>
          <w:p w14:paraId="36C6803F">
            <w:pP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cs="Tahoma"/>
                <w:bCs/>
                <w:color w:val="000000" w:themeColor="text1"/>
                <w:sz w:val="16"/>
                <w:szCs w:val="18"/>
                <w14:textFill>
                  <w14:solidFill>
                    <w14:schemeClr w14:val="tx1"/>
                  </w14:solidFill>
                </w14:textFill>
              </w:rPr>
              <w:t>-20～+70</w:t>
            </w:r>
          </w:p>
        </w:tc>
      </w:tr>
    </w:tbl>
    <w:p w14:paraId="53FC199F">
      <w:pPr>
        <w:tabs>
          <w:tab w:val="center" w:pos="1301"/>
        </w:tabs>
        <w:rPr>
          <w:b/>
          <w:color w:val="000000" w:themeColor="text1"/>
          <w:sz w:val="16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16"/>
          <w14:textFill>
            <w14:solidFill>
              <w14:schemeClr w14:val="tx1"/>
            </w14:solidFill>
          </w14:textFill>
        </w:rPr>
        <w:t>*以上所有参数的变更恕不另行通知</w:t>
      </w:r>
    </w:p>
    <w:p w14:paraId="6A3D6E37">
      <w:pPr>
        <w:pStyle w:val="11"/>
        <w:rPr>
          <w:rFonts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  <w:t xml:space="preserve">  仓储条件： </w:t>
      </w:r>
    </w:p>
    <w:p w14:paraId="7F79F9DB">
      <w:pP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所有</w:t>
      </w:r>
      <w: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NAR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的产品需储放在原始包装中用原始的保护材料，建议密封保存，水平放置，叠放层高不宜超过</w:t>
      </w:r>
      <w: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层，避免阳光直射、热源直接接触。仓储温度</w:t>
      </w:r>
      <w:r>
        <w:rPr>
          <w:rFonts w:ascii="微软雅黑" w:hAnsi="微软雅黑" w:eastAsia="微软雅黑" w:cs="Calibr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25±5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℃、相对湿度</w:t>
      </w:r>
      <w:r>
        <w:rPr>
          <w:rFonts w:ascii="微软雅黑" w:hAnsi="微软雅黑" w:eastAsia="微软雅黑" w:cs="Calibr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50±15</w:t>
      </w:r>
      <w: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。在这种条件下，该产品储存期是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18个月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。</w:t>
      </w:r>
    </w:p>
    <w:p w14:paraId="42D2B83A">
      <w:pPr>
        <w:pStyle w:val="11"/>
        <w:rPr>
          <w:rFonts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  <w:t xml:space="preserve">  打印制作要求： </w:t>
      </w:r>
    </w:p>
    <w:p w14:paraId="4DD0E617">
      <w:pPr>
        <w:pStyle w:val="11"/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制作环境：</w:t>
      </w:r>
      <w:r>
        <w:rPr>
          <w:rFonts w:ascii="微软雅黑" w:hAnsi="微软雅黑" w:eastAsia="微软雅黑" w:cstheme="minorHAns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NAR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产品建议在温度</w:t>
      </w:r>
      <w:r>
        <w:rPr>
          <w:rFonts w:ascii="微软雅黑" w:hAnsi="微软雅黑" w:eastAsia="微软雅黑" w:cs="Calibr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25±5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℃，相对湿度为</w:t>
      </w:r>
      <w:r>
        <w:rPr>
          <w:rFonts w:ascii="微软雅黑" w:hAnsi="微软雅黑" w:eastAsia="微软雅黑" w:cs="Calibr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50±10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%，洁净无尘、无悬浮物的环境下使用；</w:t>
      </w:r>
    </w:p>
    <w:p w14:paraId="518A54C9">
      <w:pP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张贴要求：</w:t>
      </w:r>
      <w:r>
        <w:rPr>
          <w:rFonts w:ascii="微软雅黑" w:hAnsi="微软雅黑" w:eastAsia="微软雅黑" w:cs="Calibr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20±10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℃，相对湿度为</w:t>
      </w:r>
      <w:r>
        <w:rPr>
          <w:rFonts w:ascii="微软雅黑" w:hAnsi="微软雅黑" w:eastAsia="微软雅黑" w:cs="Calibri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50±10</w:t>
      </w:r>
      <w: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；粘贴于平整、光滑、洁净、表面无浮尘、表皮无脱落的物体表面，贴合必要养护时间需要</w:t>
      </w:r>
      <w: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小时以上。</w:t>
      </w:r>
    </w:p>
    <w:p w14:paraId="4123FA4C">
      <w:pPr>
        <w:pStyle w:val="11"/>
        <w:rPr>
          <w:rFonts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  <w:t xml:space="preserve">  质保条件： </w:t>
      </w:r>
    </w:p>
    <w:p w14:paraId="7AA225DC">
      <w:pP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、存储期：在原始的包装中储存期限为18个月；</w:t>
      </w:r>
    </w:p>
    <w:p w14:paraId="36367926">
      <w:pPr>
        <w:pStyle w:val="11"/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2、追诉期：自产品生产之日起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年内，逾期不接受投诉。</w:t>
      </w:r>
    </w:p>
    <w:p w14:paraId="4A868BA5">
      <w:pPr>
        <w:pStyle w:val="11"/>
        <w:rPr>
          <w:rFonts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 w:cstheme="minorBidi"/>
          <w:b/>
          <w:color w:val="FFFFFF" w:themeColor="background1"/>
          <w:kern w:val="2"/>
          <w:shd w:val="clear" w:color="auto" w:fill="005BAC"/>
          <w14:textFill>
            <w14:solidFill>
              <w14:schemeClr w14:val="bg1"/>
            </w14:solidFill>
          </w14:textFill>
        </w:rPr>
        <w:t xml:space="preserve">  重要备注： </w:t>
      </w:r>
    </w:p>
    <w:p w14:paraId="6DE3E146">
      <w:pPr>
        <w:rPr>
          <w:rFonts w:hint="eastAsia" w:ascii="微软雅黑" w:hAnsi="微软雅黑" w:eastAsia="微软雅黑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NAR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所有有关材料的说明、技术信息及应用推荐是基于我们认为可信的典型性测试结果</w:t>
      </w:r>
      <w:r>
        <w:rPr>
          <w:rFonts w:hint="eastAsia" w:ascii="微软雅黑" w:hAnsi="微软雅黑" w:eastAsia="微软雅黑"/>
          <w:color w:val="000000" w:themeColor="text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61C0675">
      <w:pPr>
        <w:autoSpaceDE w:val="0"/>
        <w:autoSpaceDN w:val="0"/>
        <w:jc w:val="left"/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本产品为永久胶窗花贴，不同背贴介质和户外张贴时间的长短会有残胶的风险。不同批次产品不建议拼接</w:t>
      </w:r>
      <w:r>
        <w:rPr>
          <w:rFonts w:hint="eastAsia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。</w:t>
      </w:r>
    </w:p>
    <w:p w14:paraId="0818F41E">
      <w:pPr>
        <w:autoSpaceDE w:val="0"/>
        <w:autoSpaceDN w:val="0"/>
        <w:jc w:val="left"/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 w14:paraId="0FFD2C90">
      <w:pPr>
        <w:autoSpaceDE w:val="0"/>
        <w:autoSpaceDN w:val="0"/>
        <w:jc w:val="left"/>
        <w:rPr>
          <w:rFonts w:ascii="宋体" w:hAnsi="宋体" w:cs="宋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b/>
          <w:color w:val="FFFFFF" w:themeColor="background1"/>
          <w:shd w:val="clear" w:color="auto" w:fill="005BAC"/>
          <w14:textFill>
            <w14:solidFill>
              <w14:schemeClr w14:val="bg1"/>
            </w14:solidFill>
          </w14:textFill>
        </w:rPr>
        <w:t xml:space="preserve"> </w:t>
      </w:r>
      <w:r>
        <w:rPr>
          <w:rFonts w:hint="eastAsia" w:ascii="微软雅黑" w:hAnsi="微软雅黑" w:eastAsia="微软雅黑"/>
          <w:b/>
          <w:color w:val="FFFFFF" w:themeColor="background1"/>
          <w:sz w:val="24"/>
          <w:shd w:val="clear" w:color="auto" w:fill="005BAC"/>
          <w14:textFill>
            <w14:solidFill>
              <w14:schemeClr w14:val="bg1"/>
            </w14:solidFill>
          </w14:textFill>
        </w:rPr>
        <w:t xml:space="preserve"> 产品应用：</w:t>
      </w:r>
    </w:p>
    <w:p w14:paraId="065CA36A"/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720" w:right="720" w:bottom="567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7FDD7">
    <w:pPr>
      <w:pStyle w:val="3"/>
    </w:pPr>
    <w:r>
      <w:drawing>
        <wp:inline distT="0" distB="0" distL="0" distR="0">
          <wp:extent cx="6592570" cy="88265"/>
          <wp:effectExtent l="0" t="0" r="0" b="698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2837" cy="88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9ED22">
    <w:pPr>
      <w:pStyle w:val="4"/>
    </w:pPr>
    <w:r>
      <w:pict>
        <v:shape id="WordPictureWatermark9255775" o:spid="_x0000_s4098" o:spt="75" type="#_x0000_t75" style="position:absolute;left:0pt;height:188.75pt;width:398.7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纳尔logo英文"/>
          <o:lock v:ext="edit" aspectratio="t"/>
        </v:shape>
      </w:pict>
    </w:r>
    <w:r>
      <w:drawing>
        <wp:inline distT="0" distB="0" distL="0" distR="0">
          <wp:extent cx="6583680" cy="423545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93" cy="4236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E1B0F">
    <w:pPr>
      <w:pStyle w:val="4"/>
    </w:pPr>
    <w:r>
      <w:pict>
        <v:shape id="WordPictureWatermark9255774" o:spid="_x0000_s4099" o:spt="75" type="#_x0000_t75" style="position:absolute;left:0pt;height:188.75pt;width:398.7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纳尔logo英文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8C3A3">
    <w:pPr>
      <w:pStyle w:val="4"/>
    </w:pPr>
    <w:r>
      <w:pict>
        <v:shape id="WordPictureWatermark9255773" o:spid="_x0000_s4097" o:spt="75" type="#_x0000_t75" style="position:absolute;left:0pt;height:188.75pt;width:398.7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纳尔logo英文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9849BD"/>
    <w:multiLevelType w:val="singleLevel"/>
    <w:tmpl w:val="2B9849B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jZTUwMmUwZmJjNDRjZTE4ZjUyNzc3NzViMGVlNzkifQ=="/>
  </w:docVars>
  <w:rsids>
    <w:rsidRoot w:val="00E861FB"/>
    <w:rsid w:val="00034277"/>
    <w:rsid w:val="00057E05"/>
    <w:rsid w:val="000B14C5"/>
    <w:rsid w:val="001C055E"/>
    <w:rsid w:val="001C2BA3"/>
    <w:rsid w:val="00203D72"/>
    <w:rsid w:val="00254AC3"/>
    <w:rsid w:val="002818A0"/>
    <w:rsid w:val="00287969"/>
    <w:rsid w:val="002B3264"/>
    <w:rsid w:val="002B5A29"/>
    <w:rsid w:val="002F3C15"/>
    <w:rsid w:val="00315FCF"/>
    <w:rsid w:val="00347532"/>
    <w:rsid w:val="00350D61"/>
    <w:rsid w:val="003612A7"/>
    <w:rsid w:val="003B692D"/>
    <w:rsid w:val="003E3B8F"/>
    <w:rsid w:val="00466487"/>
    <w:rsid w:val="00502688"/>
    <w:rsid w:val="00513DB2"/>
    <w:rsid w:val="00570458"/>
    <w:rsid w:val="005B5F1B"/>
    <w:rsid w:val="005D68A4"/>
    <w:rsid w:val="005E2D2D"/>
    <w:rsid w:val="005F0BF2"/>
    <w:rsid w:val="00621927"/>
    <w:rsid w:val="00674628"/>
    <w:rsid w:val="007F1C8F"/>
    <w:rsid w:val="007F6058"/>
    <w:rsid w:val="00811525"/>
    <w:rsid w:val="008124CD"/>
    <w:rsid w:val="008B09D7"/>
    <w:rsid w:val="008B593E"/>
    <w:rsid w:val="008E0B2F"/>
    <w:rsid w:val="008E1764"/>
    <w:rsid w:val="008E2276"/>
    <w:rsid w:val="00901010"/>
    <w:rsid w:val="00953E43"/>
    <w:rsid w:val="009D59D2"/>
    <w:rsid w:val="00A55905"/>
    <w:rsid w:val="00AB1E91"/>
    <w:rsid w:val="00AF792A"/>
    <w:rsid w:val="00B02D39"/>
    <w:rsid w:val="00B85DDF"/>
    <w:rsid w:val="00BC54E6"/>
    <w:rsid w:val="00BD321A"/>
    <w:rsid w:val="00C46C6B"/>
    <w:rsid w:val="00C46E52"/>
    <w:rsid w:val="00CB3F6C"/>
    <w:rsid w:val="00D13ADC"/>
    <w:rsid w:val="00D612C2"/>
    <w:rsid w:val="00DC56D5"/>
    <w:rsid w:val="00DD2E85"/>
    <w:rsid w:val="00DD5808"/>
    <w:rsid w:val="00E22A89"/>
    <w:rsid w:val="00E324C1"/>
    <w:rsid w:val="00E67D0D"/>
    <w:rsid w:val="00E861FB"/>
    <w:rsid w:val="00E958E5"/>
    <w:rsid w:val="00EF6676"/>
    <w:rsid w:val="00F92B70"/>
    <w:rsid w:val="00FF2CD8"/>
    <w:rsid w:val="010A6538"/>
    <w:rsid w:val="11076766"/>
    <w:rsid w:val="252B20DF"/>
    <w:rsid w:val="4B7B0FA3"/>
    <w:rsid w:val="591245A7"/>
    <w:rsid w:val="59271067"/>
    <w:rsid w:val="634C7460"/>
    <w:rsid w:val="77D5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autoRedefine/>
    <w:semiHidden/>
    <w:qFormat/>
    <w:uiPriority w:val="99"/>
    <w:rPr>
      <w:sz w:val="18"/>
      <w:szCs w:val="18"/>
    </w:rPr>
  </w:style>
  <w:style w:type="table" w:customStyle="1" w:styleId="10">
    <w:name w:val="浅色底纹1"/>
    <w:basedOn w:val="5"/>
    <w:autoRedefine/>
    <w:qFormat/>
    <w:uiPriority w:val="60"/>
    <w:rPr>
      <w:rFonts w:ascii="Times New Roman" w:hAnsi="Times New Roman" w:eastAsia="宋体" w:cs="Times New Roman"/>
      <w:color w:val="000000"/>
      <w:kern w:val="0"/>
      <w:sz w:val="20"/>
      <w:szCs w:val="2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beforeLines="0" w:beforeAutospacing="0" w:after="0" w:afterLines="0" w:afterAutospacing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beforeLines="0" w:beforeAutospacing="0" w:after="0" w:afterLines="0" w:afterAutospacing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C0C0"/>
      </w:tcPr>
    </w:tblStylePr>
  </w:style>
  <w:style w:type="paragraph" w:customStyle="1" w:styleId="1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9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15E439-614A-4CA2-B4A8-5201D1DC59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683</Words>
  <Characters>897</Characters>
  <Lines>7</Lines>
  <Paragraphs>2</Paragraphs>
  <TotalTime>8</TotalTime>
  <ScaleCrop>false</ScaleCrop>
  <LinksUpToDate>false</LinksUpToDate>
  <CharactersWithSpaces>936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2018-08-27T08:49:00Z</dcterms:created>
  <dc:creator>Qin Yu-秦超(NAR)</dc:creator>
  <cp:lastModifiedBy>006152</cp:lastModifiedBy>
  <cp:lastPrinted>2018-08-20T01:40:00Z</cp:lastPrinted>
  <dcterms:modified xsi:type="dcterms:W3CDTF">2025-07-04T08:38:42Z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DD43AD7F80684AF8BB68A7C546691CED_13</vt:lpwstr>
  </property>
</Properties>
</file>