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7E8BF">
      <w:pPr>
        <w:spacing w:line="0" w:lineRule="atLeast"/>
        <w:rPr>
          <w:rFonts w:ascii="Arial" w:hAnsi="Arial" w:cs="Arial"/>
          <w:b/>
          <w:color w:val="005BAC"/>
          <w:sz w:val="18"/>
          <w:szCs w:val="36"/>
        </w:rPr>
      </w:pPr>
      <w:bookmarkStart w:id="0" w:name="_GoBack"/>
      <w:bookmarkEnd w:id="0"/>
    </w:p>
    <w:p w14:paraId="09643C7E">
      <w:pPr>
        <w:spacing w:line="0" w:lineRule="atLeast"/>
        <w:rPr>
          <w:rFonts w:hint="default" w:ascii="Arial" w:hAnsi="Arial" w:eastAsia="微软雅黑" w:cs="Arial"/>
          <w:b/>
          <w:color w:val="005BAC"/>
          <w:sz w:val="36"/>
          <w:szCs w:val="36"/>
          <w:lang w:val="en-US" w:eastAsia="zh-CN"/>
        </w:rPr>
      </w:pPr>
      <w:r>
        <w:rPr>
          <w:rFonts w:ascii="Arial" w:hAnsi="Arial" w:eastAsia="微软雅黑" w:cs="Arial"/>
          <w:b/>
          <w:color w:val="005BAC"/>
          <w:sz w:val="36"/>
          <w:szCs w:val="36"/>
        </w:rPr>
        <w:t>N</w:t>
      </w:r>
      <w:r>
        <w:rPr>
          <w:rFonts w:hint="eastAsia" w:ascii="Arial" w:hAnsi="Arial" w:eastAsia="微软雅黑" w:cs="Arial"/>
          <w:b/>
          <w:color w:val="005BAC"/>
          <w:sz w:val="36"/>
          <w:szCs w:val="36"/>
          <w:lang w:val="en-US" w:eastAsia="zh-CN"/>
        </w:rPr>
        <w:t>D6110</w:t>
      </w:r>
    </w:p>
    <w:p w14:paraId="65DE3B65">
      <w:pPr>
        <w:spacing w:line="0" w:lineRule="atLeast"/>
        <w:rPr>
          <w:rFonts w:hint="default" w:ascii="Arial" w:hAnsi="Arial" w:eastAsia="微软雅黑" w:cs="Arial"/>
          <w:b/>
          <w:color w:val="005BAC"/>
          <w:sz w:val="24"/>
          <w:szCs w:val="24"/>
          <w:lang w:val="en-US" w:eastAsia="zh-CN"/>
        </w:rPr>
      </w:pPr>
      <w:r>
        <w:rPr>
          <w:rFonts w:hint="eastAsia" w:ascii="Arial" w:hAnsi="Arial" w:eastAsia="微软雅黑" w:cs="Arial"/>
          <w:b/>
          <w:color w:val="005BAC"/>
          <w:sz w:val="24"/>
          <w:szCs w:val="24"/>
          <w:lang w:val="en-US" w:eastAsia="zh-CN"/>
        </w:rPr>
        <w:t>彩虹膜车贴-蓝光</w:t>
      </w:r>
    </w:p>
    <w:p w14:paraId="7518B8D7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产品描述： </w:t>
      </w:r>
    </w:p>
    <w:p w14:paraId="36CF4BB3">
      <w:pPr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面膜：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80</w:t>
      </w:r>
      <w:r>
        <w:rPr>
          <w:rFonts w:hint="eastAsia" w:ascii="微软雅黑" w:hAnsi="微软雅黑" w:eastAsia="微软雅黑"/>
          <w:sz w:val="18"/>
          <w:szCs w:val="18"/>
        </w:rPr>
        <w:t>micron P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ET彩虹膜</w:t>
      </w:r>
      <w:r>
        <w:rPr>
          <w:rFonts w:hint="eastAsia" w:ascii="微软雅黑" w:hAnsi="微软雅黑" w:eastAsia="微软雅黑"/>
          <w:sz w:val="18"/>
          <w:szCs w:val="18"/>
        </w:rPr>
        <w:t>；</w:t>
      </w:r>
    </w:p>
    <w:p w14:paraId="756EC8D2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胶水：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可移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透明胶；</w:t>
      </w:r>
    </w:p>
    <w:p w14:paraId="321CECE7">
      <w:pPr>
        <w:rPr>
          <w:rFonts w:hint="default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底纸：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微软雅黑" w:hAnsi="微软雅黑" w:eastAsia="微软雅黑"/>
          <w:sz w:val="18"/>
          <w:szCs w:val="18"/>
        </w:rPr>
        <w:t>micron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透明离型PET</w:t>
      </w:r>
    </w:p>
    <w:p w14:paraId="4E9E0110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宽幅：1.27m</w:t>
      </w:r>
    </w:p>
    <w:p w14:paraId="09569F40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产品特点： </w:t>
      </w:r>
    </w:p>
    <w:p w14:paraId="706EE9BD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色彩灵动，不同角度不一样的颜色</w:t>
      </w:r>
      <w:r>
        <w:rPr>
          <w:rFonts w:hint="eastAsia" w:ascii="微软雅黑" w:hAnsi="微软雅黑" w:eastAsia="微软雅黑"/>
          <w:sz w:val="18"/>
          <w:szCs w:val="18"/>
          <w:lang w:val="en-US" w:eastAsia="zh-CN"/>
        </w:rPr>
        <w:t>;</w:t>
      </w:r>
      <w:r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；</w:t>
      </w:r>
    </w:p>
    <w:p w14:paraId="39B4A322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具有较高的通透性和光亮性</w:t>
      </w:r>
      <w:r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03C448A8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6"/>
          <w:lang w:val="en-US" w:eastAsia="zh-CN"/>
          <w14:textFill>
            <w14:solidFill>
              <w14:schemeClr w14:val="tx1"/>
            </w14:solidFill>
          </w14:textFill>
        </w:rPr>
        <w:t>产品尺寸稳定性好，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适用于大部分介质表面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06491C1B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sz w:val="18"/>
          <w:szCs w:val="18"/>
        </w:rPr>
        <w:t>具有特别的装饰性外观，非常耀眼</w:t>
      </w:r>
      <w:r>
        <w:rPr>
          <w:rFonts w:hint="eastAsia" w:ascii="微软雅黑" w:hAnsi="微软雅黑" w:eastAsia="微软雅黑" w:cs="Tahoma"/>
          <w:color w:val="000000" w:themeColor="text1"/>
          <w:kern w:val="0"/>
          <w:sz w:val="18"/>
          <w:szCs w:val="16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30E20350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产品应用： </w:t>
      </w:r>
    </w:p>
    <w:p w14:paraId="0080E516">
      <w:pPr>
        <w:rPr>
          <w:rFonts w:hint="eastAsia" w:ascii="微软雅黑" w:hAnsi="微软雅黑" w:eastAsia="微软雅黑"/>
          <w:sz w:val="18"/>
          <w:lang w:val="en-US" w:eastAsia="zh-CN"/>
        </w:rPr>
      </w:pPr>
      <w:r>
        <w:rPr>
          <w:rFonts w:hint="eastAsia" w:ascii="微软雅黑" w:hAnsi="微软雅黑" w:eastAsia="微软雅黑"/>
          <w:sz w:val="18"/>
        </w:rPr>
        <w:t>适用于</w:t>
      </w:r>
      <w:r>
        <w:rPr>
          <w:rFonts w:hint="eastAsia" w:ascii="微软雅黑" w:hAnsi="微软雅黑" w:eastAsia="微软雅黑"/>
          <w:sz w:val="18"/>
          <w:szCs w:val="16"/>
        </w:rPr>
        <w:t>玻璃应用，同时也可适用于透明</w:t>
      </w:r>
      <w:r>
        <w:rPr>
          <w:rFonts w:hint="eastAsia" w:ascii="微软雅黑" w:hAnsi="微软雅黑" w:eastAsia="微软雅黑"/>
          <w:sz w:val="18"/>
        </w:rPr>
        <w:t>亚克力板、PVC、PET透明板等</w:t>
      </w:r>
      <w:r>
        <w:rPr>
          <w:rFonts w:hint="eastAsia" w:ascii="微软雅黑" w:hAnsi="微软雅黑" w:eastAsia="微软雅黑"/>
          <w:sz w:val="18"/>
          <w:lang w:val="en-US" w:eastAsia="zh-CN"/>
        </w:rPr>
        <w:t>；</w:t>
      </w:r>
    </w:p>
    <w:p w14:paraId="4E731194">
      <w:pPr>
        <w:autoSpaceDE w:val="0"/>
        <w:autoSpaceDN w:val="0"/>
        <w:adjustRightInd w:val="0"/>
        <w:jc w:val="left"/>
        <w:rPr>
          <w:rFonts w:hint="default" w:ascii="微软雅黑" w:hAnsi="微软雅黑" w:eastAsia="微软雅黑"/>
          <w:sz w:val="18"/>
          <w:lang w:val="en-US" w:eastAsia="zh-CN"/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本产品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不建议喷绘，不具备喷绘性能。</w:t>
      </w:r>
    </w:p>
    <w:p w14:paraId="3AF74E26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技术参数： </w:t>
      </w:r>
    </w:p>
    <w:p w14:paraId="712C00DC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测试条件：室内温度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23±2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50±5%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，以铝板、玻璃、钢板作为基材测试。</w:t>
      </w:r>
    </w:p>
    <w:tbl>
      <w:tblPr>
        <w:tblStyle w:val="5"/>
        <w:tblW w:w="6793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1145"/>
        <w:gridCol w:w="2029"/>
        <w:gridCol w:w="1563"/>
      </w:tblGrid>
      <w:tr w14:paraId="5DDFF2F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0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53A6904B">
            <w:pPr>
              <w:ind w:firstLine="320"/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14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009BAEF3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20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691AD3A5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测试方法</w:t>
            </w:r>
          </w:p>
        </w:tc>
        <w:tc>
          <w:tcPr>
            <w:tcW w:w="15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70368073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</w:tr>
      <w:tr w14:paraId="531BC2D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1" w:hRule="atLeast"/>
        </w:trPr>
        <w:tc>
          <w:tcPr>
            <w:tcW w:w="205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535BD488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PVC 膜厚度</w:t>
            </w:r>
          </w:p>
          <w:p w14:paraId="0970720C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底纸克重</w:t>
            </w:r>
          </w:p>
          <w:p w14:paraId="7D5A7CB3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成品重量</w:t>
            </w:r>
          </w:p>
          <w:p w14:paraId="3799029C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初粘力</w:t>
            </w:r>
          </w:p>
          <w:p w14:paraId="56AF1365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kern w:val="0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24h，180°剥离力</w:t>
            </w:r>
          </w:p>
          <w:p w14:paraId="4158C34F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尺寸稳定性MD</w:t>
            </w:r>
          </w:p>
          <w:p w14:paraId="4C2CF017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尺寸稳定性CD</w:t>
            </w:r>
          </w:p>
          <w:p w14:paraId="3242A8E7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拉伸强度 MD</w:t>
            </w:r>
          </w:p>
          <w:p w14:paraId="2A0CEB11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拉伸强度 CD</w:t>
            </w:r>
          </w:p>
          <w:p w14:paraId="766531E0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施工温度</w:t>
            </w:r>
          </w:p>
          <w:p w14:paraId="19E12930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适用温度</w:t>
            </w:r>
          </w:p>
        </w:tc>
        <w:tc>
          <w:tcPr>
            <w:tcW w:w="114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22C6CA18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icron</w:t>
            </w:r>
          </w:p>
          <w:p w14:paraId="51A95FEF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g/m²</w:t>
            </w:r>
          </w:p>
          <w:p w14:paraId="621DF543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g/m²</w:t>
            </w:r>
          </w:p>
          <w:p w14:paraId="57937F34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N/25mm</w:t>
            </w:r>
          </w:p>
          <w:p w14:paraId="401B1A5F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N/25mm</w:t>
            </w:r>
          </w:p>
          <w:p w14:paraId="6AF45E21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  <w:p w14:paraId="6AE0BA86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  <w:p w14:paraId="5CA4B2A6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 mm</w:t>
            </w:r>
          </w:p>
          <w:p w14:paraId="5E64C1A2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N/25 mm</w:t>
            </w:r>
          </w:p>
          <w:p w14:paraId="23F2A5DB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3F60C3EF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</w:tc>
        <w:tc>
          <w:tcPr>
            <w:tcW w:w="202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7F0BD6A8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GB/T6672-2001</w:t>
            </w:r>
          </w:p>
          <w:p w14:paraId="28286533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GB4669-1995</w:t>
            </w:r>
          </w:p>
          <w:p w14:paraId="3A4C9DD0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GB4669-1995</w:t>
            </w:r>
          </w:p>
          <w:p w14:paraId="2B934DA1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  <w:p w14:paraId="23F3E41E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05EE0737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  <w:p w14:paraId="2D8B1912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FTM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14   </w:t>
            </w:r>
          </w:p>
          <w:p w14:paraId="0D222A03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GB/T1040.1-2006</w:t>
            </w:r>
          </w:p>
          <w:p w14:paraId="06676B4C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GB/T1040.1-2006</w:t>
            </w:r>
          </w:p>
          <w:p w14:paraId="698E08AC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46DC0AF9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4DCFFA4A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  <w:p w14:paraId="4282D9D6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±20</w:t>
            </w:r>
          </w:p>
          <w:p w14:paraId="383A4739">
            <w:pPr>
              <w:rPr>
                <w:rFonts w:hint="eastAsia" w:ascii="Tahoma" w:hAnsi="Tahoma" w:cs="Tahoma" w:eastAsiaTheme="minorEastAsia"/>
                <w:bCs/>
                <w:color w:val="000000" w:themeColor="text1"/>
                <w:sz w:val="16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  <w:p w14:paraId="7BAE409C">
            <w:pPr>
              <w:rPr>
                <w:rFonts w:hint="eastAsia" w:ascii="Tahoma" w:hAnsi="Tahoma" w:cs="Tahoma" w:eastAsiaTheme="minorEastAsia"/>
                <w:b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  <w:p w14:paraId="047CFD48">
            <w:pPr>
              <w:rPr>
                <w:rFonts w:hint="eastAsia" w:ascii="Tahoma" w:hAnsi="Tahoma" w:cs="Tahoma" w:eastAsiaTheme="minorEastAsia"/>
                <w:b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≤1.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4C86EC62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≤1.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59E7A837">
            <w:pPr>
              <w:rPr>
                <w:rFonts w:ascii="Tahoma" w:hAnsi="Tahoma" w:cs="Tahoma"/>
                <w:b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473699B6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557A1702">
            <w:pPr>
              <w:rPr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cs="Calibri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:sz w:val="16"/>
                <w14:textFill>
                  <w14:solidFill>
                    <w14:schemeClr w14:val="tx1"/>
                  </w14:solidFill>
                </w14:textFill>
              </w:rPr>
              <w:t>℃</w:t>
            </w:r>
          </w:p>
          <w:p w14:paraId="50AA95B8">
            <w:pP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ahoma" w:hAnsi="Tahoma" w:cs="Tahoma"/>
                <w:bCs/>
                <w:color w:val="000000" w:themeColor="text1"/>
                <w:sz w:val="16"/>
                <w:szCs w:val="18"/>
                <w14:textFill>
                  <w14:solidFill>
                    <w14:schemeClr w14:val="tx1"/>
                  </w14:solidFill>
                </w14:textFill>
              </w:rPr>
              <w:t>-20～+70</w:t>
            </w:r>
          </w:p>
        </w:tc>
      </w:tr>
    </w:tbl>
    <w:p w14:paraId="7A4BA321">
      <w:pPr>
        <w:tabs>
          <w:tab w:val="center" w:pos="1301"/>
        </w:tabs>
        <w:rPr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16"/>
          <w14:textFill>
            <w14:solidFill>
              <w14:schemeClr w14:val="tx1"/>
            </w14:solidFill>
          </w14:textFill>
        </w:rPr>
        <w:t>*以上所有参数的变更恕不另行通知</w:t>
      </w:r>
    </w:p>
    <w:p w14:paraId="3FB92D18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仓储条件： </w:t>
      </w:r>
    </w:p>
    <w:p w14:paraId="06C6F277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的产品需储放在原始包装中用原始的保护材料，建议密封保存，水平放置，叠放层高不宜超过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层，避免阳光直射、热源直接接触。仓储温度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℃、相对湿度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50±15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。在这种条件下，该产品储存期是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年。</w:t>
      </w:r>
    </w:p>
    <w:p w14:paraId="0C60A258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打印制作要求： </w:t>
      </w:r>
    </w:p>
    <w:p w14:paraId="610C76B8"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制作环境：</w:t>
      </w:r>
      <w:r>
        <w:rPr>
          <w:rFonts w:ascii="微软雅黑" w:hAnsi="微软雅黑" w:eastAsia="微软雅黑" w:cstheme="minorHAns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产品建议在温度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25±5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%，洁净无尘、无悬浮物的环境下使用；</w:t>
      </w:r>
    </w:p>
    <w:p w14:paraId="0E7D7515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张贴要求：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20±10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℃，相对湿度为</w:t>
      </w:r>
      <w:r>
        <w:rPr>
          <w:rFonts w:ascii="微软雅黑" w:hAnsi="微软雅黑" w:eastAsia="微软雅黑" w:cs="Calibr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50±10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；粘贴于平整、光滑、洁净、表面无浮尘、表皮无脱落的物体表面，贴合必要养护时间需要</w:t>
      </w: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小时以上。</w:t>
      </w:r>
    </w:p>
    <w:p w14:paraId="52712EF8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质保条件： </w:t>
      </w:r>
    </w:p>
    <w:p w14:paraId="1DCBD4C3">
      <w:pP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、保质期为一年：</w:t>
      </w:r>
      <w:r>
        <w:rPr>
          <w:rFonts w:hint="eastAsia" w:ascii="微软雅黑" w:hAnsi="微软雅黑" w:eastAsia="微软雅黑" w:cstheme="minorHAnsi"/>
          <w:color w:val="000000" w:themeColor="text1"/>
          <w:kern w:val="0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产品需满足仓储条件，半年内使用最佳。</w:t>
      </w:r>
    </w:p>
    <w:p w14:paraId="3E09C568">
      <w:pPr>
        <w:pStyle w:val="11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2、追诉期：自产品生产之日起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年内，逾期不接受投诉。</w:t>
      </w:r>
    </w:p>
    <w:p w14:paraId="78434B07">
      <w:pPr>
        <w:pStyle w:val="11"/>
        <w:rPr>
          <w:rFonts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</w:pPr>
      <w:r>
        <w:rPr>
          <w:rFonts w:hint="eastAsia" w:ascii="微软雅黑" w:hAnsi="微软雅黑" w:eastAsia="微软雅黑" w:cstheme="minorBidi"/>
          <w:b/>
          <w:color w:val="FFFFFF" w:themeColor="background1"/>
          <w:kern w:val="2"/>
          <w:shd w:val="clear" w:color="auto" w:fill="005BAC"/>
          <w14:textFill>
            <w14:solidFill>
              <w14:schemeClr w14:val="bg1"/>
            </w14:solidFill>
          </w14:textFill>
        </w:rPr>
        <w:t xml:space="preserve">  重要备注： </w:t>
      </w:r>
    </w:p>
    <w:p w14:paraId="2357019C">
      <w:pP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NAR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所有有关材料的说明、技术信息及应用推荐是基于我们认为可信的典型性测试结果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1538BDCD">
      <w:pPr>
        <w:autoSpaceDE w:val="0"/>
        <w:autoSpaceDN w:val="0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不同背贴介质和户外张贴时间的长短会有残胶的风险。不同批次产品不建议拼接</w:t>
      </w: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。</w:t>
      </w:r>
    </w:p>
    <w:p w14:paraId="6AC7EFC9">
      <w:pPr>
        <w:autoSpaceDE w:val="0"/>
        <w:autoSpaceDN w:val="0"/>
        <w:jc w:val="left"/>
        <w:rPr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382F2303">
      <w:pPr>
        <w:autoSpaceDE w:val="0"/>
        <w:autoSpaceDN w:val="0"/>
        <w:jc w:val="left"/>
        <w:rPr>
          <w:rFonts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FFFFFF" w:themeColor="background1"/>
          <w:shd w:val="clear" w:color="auto" w:fill="005BAC"/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b/>
          <w:color w:val="FFFFFF" w:themeColor="background1"/>
          <w:sz w:val="24"/>
          <w:shd w:val="clear" w:color="auto" w:fill="005BAC"/>
          <w14:textFill>
            <w14:solidFill>
              <w14:schemeClr w14:val="bg1"/>
            </w14:solidFill>
          </w14:textFill>
        </w:rPr>
        <w:t xml:space="preserve"> 产品应用：</w:t>
      </w:r>
    </w:p>
    <w:p w14:paraId="475C1B13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FD0B2">
    <w:pPr>
      <w:pStyle w:val="3"/>
    </w:pPr>
    <w:r>
      <w:drawing>
        <wp:inline distT="0" distB="0" distL="0" distR="0">
          <wp:extent cx="6592570" cy="88265"/>
          <wp:effectExtent l="0" t="0" r="0" b="6985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837" cy="88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AF7B5">
    <w:pPr>
      <w:pStyle w:val="4"/>
    </w:pPr>
    <w:r>
      <w:pict>
        <v:shape id="WordPictureWatermark9255775" o:spid="_x0000_s4098" o:spt="75" type="#_x0000_t75" style="position:absolute;left:0pt;height:188.75pt;width:398.7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纳尔logo英文"/>
          <o:lock v:ext="edit" aspectratio="t"/>
        </v:shape>
      </w:pict>
    </w:r>
    <w:r>
      <w:drawing>
        <wp:inline distT="0" distB="0" distL="0" distR="0">
          <wp:extent cx="6583680" cy="423545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423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7C8A5">
    <w:pPr>
      <w:pStyle w:val="4"/>
    </w:pPr>
    <w:r>
      <w:pict>
        <v:shape id="WordPictureWatermark9255774" o:spid="_x0000_s4099" o:spt="75" type="#_x0000_t75" style="position:absolute;left:0pt;height:188.75pt;width:398.7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纳尔logo英文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DE98A">
    <w:pPr>
      <w:pStyle w:val="4"/>
    </w:pPr>
    <w:r>
      <w:pict>
        <v:shape id="WordPictureWatermark9255773" o:spid="_x0000_s4097" o:spt="75" type="#_x0000_t75" style="position:absolute;left:0pt;height:188.75pt;width:398.7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纳尔logo英文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9849BD"/>
    <w:multiLevelType w:val="singleLevel"/>
    <w:tmpl w:val="2B9849B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ZTUwMmUwZmJjNDRjZTE4ZjUyNzc3NzViMGVlNzkifQ=="/>
  </w:docVars>
  <w:rsids>
    <w:rsidRoot w:val="00E861FB"/>
    <w:rsid w:val="00034277"/>
    <w:rsid w:val="00057E05"/>
    <w:rsid w:val="000B14C5"/>
    <w:rsid w:val="001C055E"/>
    <w:rsid w:val="001C2BA3"/>
    <w:rsid w:val="00203D72"/>
    <w:rsid w:val="00254AC3"/>
    <w:rsid w:val="002818A0"/>
    <w:rsid w:val="00287969"/>
    <w:rsid w:val="002B3264"/>
    <w:rsid w:val="002B5A29"/>
    <w:rsid w:val="002F3C15"/>
    <w:rsid w:val="00315FCF"/>
    <w:rsid w:val="00347532"/>
    <w:rsid w:val="00350D61"/>
    <w:rsid w:val="003612A7"/>
    <w:rsid w:val="003B692D"/>
    <w:rsid w:val="003E3B8F"/>
    <w:rsid w:val="00466487"/>
    <w:rsid w:val="00502688"/>
    <w:rsid w:val="00513DB2"/>
    <w:rsid w:val="00570458"/>
    <w:rsid w:val="005B5F1B"/>
    <w:rsid w:val="005D68A4"/>
    <w:rsid w:val="005E2D2D"/>
    <w:rsid w:val="005F0BF2"/>
    <w:rsid w:val="00621927"/>
    <w:rsid w:val="00674628"/>
    <w:rsid w:val="007F1C8F"/>
    <w:rsid w:val="007F6058"/>
    <w:rsid w:val="00811525"/>
    <w:rsid w:val="008124CD"/>
    <w:rsid w:val="008B09D7"/>
    <w:rsid w:val="008B593E"/>
    <w:rsid w:val="008E0B2F"/>
    <w:rsid w:val="008E1764"/>
    <w:rsid w:val="008E2276"/>
    <w:rsid w:val="00901010"/>
    <w:rsid w:val="00953E43"/>
    <w:rsid w:val="009D59D2"/>
    <w:rsid w:val="00A55905"/>
    <w:rsid w:val="00AB1E91"/>
    <w:rsid w:val="00AF792A"/>
    <w:rsid w:val="00B02D39"/>
    <w:rsid w:val="00B85DDF"/>
    <w:rsid w:val="00BC54E6"/>
    <w:rsid w:val="00BD321A"/>
    <w:rsid w:val="00C46C6B"/>
    <w:rsid w:val="00C46E52"/>
    <w:rsid w:val="00CB3F6C"/>
    <w:rsid w:val="00D13ADC"/>
    <w:rsid w:val="00D612C2"/>
    <w:rsid w:val="00DC56D5"/>
    <w:rsid w:val="00DD2E85"/>
    <w:rsid w:val="00DD5808"/>
    <w:rsid w:val="00E22A89"/>
    <w:rsid w:val="00E324C1"/>
    <w:rsid w:val="00E67D0D"/>
    <w:rsid w:val="00E861FB"/>
    <w:rsid w:val="00E958E5"/>
    <w:rsid w:val="00EF6676"/>
    <w:rsid w:val="00F92B70"/>
    <w:rsid w:val="00FF2CD8"/>
    <w:rsid w:val="07C47A62"/>
    <w:rsid w:val="0A304506"/>
    <w:rsid w:val="117B11CE"/>
    <w:rsid w:val="14A25431"/>
    <w:rsid w:val="591245A7"/>
    <w:rsid w:val="59271067"/>
    <w:rsid w:val="688D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table" w:customStyle="1" w:styleId="10">
    <w:name w:val="浅色底纹1"/>
    <w:basedOn w:val="5"/>
    <w:qFormat/>
    <w:uiPriority w:val="60"/>
    <w:rPr>
      <w:rFonts w:ascii="Times New Roman" w:hAnsi="Times New Roman" w:eastAsia="宋体" w:cs="Times New Roman"/>
      <w:color w:val="000000"/>
      <w:kern w:val="0"/>
      <w:sz w:val="20"/>
      <w:szCs w:val="2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15E439-614A-4CA2-B4A8-5201D1DC59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685</Words>
  <Characters>885</Characters>
  <Lines>7</Lines>
  <Paragraphs>2</Paragraphs>
  <TotalTime>28</TotalTime>
  <ScaleCrop>false</ScaleCrop>
  <LinksUpToDate>false</LinksUpToDate>
  <CharactersWithSpaces>924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2018-08-27T08:49:00Z</dcterms:created>
  <dc:creator>Qin Yu-秦超(NAR)</dc:creator>
  <cp:lastModifiedBy>006152</cp:lastModifiedBy>
  <cp:lastPrinted>2018-08-20T01:40:00Z</cp:lastPrinted>
  <dcterms:modified xsi:type="dcterms:W3CDTF">2025-07-04T08:39:19Z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AD2FC4EDC15F48CB908F619D69FE1206_13</vt:lpwstr>
  </property>
</Properties>
</file>