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07BE4">
      <w:pPr>
        <w:spacing w:line="180" w:lineRule="exact"/>
        <w:rPr>
          <w:rFonts w:ascii="Arial" w:hAnsi="Arial" w:cs="Arial"/>
          <w:b/>
          <w:color w:val="005BAC"/>
          <w:sz w:val="18"/>
          <w:szCs w:val="36"/>
        </w:rPr>
      </w:pPr>
      <w:bookmarkStart w:id="7" w:name="_GoBack"/>
      <w:bookmarkEnd w:id="7"/>
    </w:p>
    <w:p w14:paraId="58355CAF">
      <w:pPr>
        <w:spacing w:line="0" w:lineRule="atLeast"/>
        <w:rPr>
          <w:rFonts w:hint="default" w:ascii="Arial" w:hAnsi="Arial" w:cs="Arial" w:eastAsiaTheme="minorEastAsia"/>
          <w:b/>
          <w:color w:val="005BAC"/>
          <w:sz w:val="36"/>
          <w:szCs w:val="36"/>
          <w:lang w:val="en-US" w:eastAsia="zh-CN"/>
        </w:rPr>
      </w:pPr>
      <w:r>
        <w:rPr>
          <w:rFonts w:hint="eastAsia" w:ascii="Arial" w:hAnsi="Arial" w:cs="Arial"/>
          <w:b/>
          <w:color w:val="005BAC"/>
          <w:sz w:val="36"/>
          <w:szCs w:val="36"/>
        </w:rPr>
        <w:t>NO3309TP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-RR</w:t>
      </w:r>
    </w:p>
    <w:p w14:paraId="50FF8E5C">
      <w:pPr>
        <w:spacing w:line="280" w:lineRule="exact"/>
        <w:rPr>
          <w:rFonts w:ascii="微软雅黑" w:hAnsi="微软雅黑" w:eastAsia="微软雅黑" w:cs="Arial"/>
          <w:b/>
          <w:color w:val="005BAC"/>
          <w:sz w:val="24"/>
          <w:szCs w:val="24"/>
        </w:rPr>
      </w:pPr>
      <w:r>
        <w:rPr>
          <w:rFonts w:hint="eastAsia" w:ascii="微软雅黑" w:hAnsi="微软雅黑" w:eastAsia="微软雅黑" w:cs="Arial"/>
          <w:b/>
          <w:color w:val="005BAC"/>
          <w:sz w:val="24"/>
          <w:szCs w:val="24"/>
        </w:rPr>
        <w:t>三层单透膜</w:t>
      </w:r>
    </w:p>
    <w:p w14:paraId="5C0144AD">
      <w:pPr>
        <w:spacing w:line="320" w:lineRule="exact"/>
        <w:rPr>
          <w:rFonts w:ascii="Tahoma" w:hAnsi="Tahoma" w:cs="Tahoma"/>
          <w:sz w:val="18"/>
          <w:szCs w:val="21"/>
        </w:rPr>
      </w:pPr>
    </w:p>
    <w:p w14:paraId="35E38D98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产品描述： </w:t>
      </w:r>
    </w:p>
    <w:p w14:paraId="226578C9"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面膜：140micron  PVC黑白膜；</w:t>
      </w:r>
    </w:p>
    <w:p w14:paraId="6F84B591"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胶水：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透明胶</w:t>
      </w:r>
    </w:p>
    <w:p w14:paraId="4F874BD3"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 xml:space="preserve">底纸：100g冲孔纸+3.2S PET </w:t>
      </w:r>
    </w:p>
    <w:p w14:paraId="3755A492"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宽幅：0.98/1.06/1.27/1.37/1.52m</w:t>
      </w:r>
    </w:p>
    <w:p w14:paraId="0E872232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产品特点： </w:t>
      </w:r>
    </w:p>
    <w:p w14:paraId="4065E3AB"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 w:cs="Tahoma"/>
          <w:kern w:val="0"/>
          <w:sz w:val="18"/>
          <w:szCs w:val="16"/>
        </w:rPr>
      </w:pPr>
      <w:r>
        <w:rPr>
          <w:rFonts w:hint="eastAsia" w:ascii="微软雅黑" w:hAnsi="微软雅黑" w:eastAsia="微软雅黑" w:cs="Tahoma"/>
          <w:kern w:val="0"/>
          <w:sz w:val="18"/>
          <w:szCs w:val="16"/>
        </w:rPr>
        <w:t>单向透视、遮光、保护个人隐私等功能；孔径</w:t>
      </w:r>
      <w:r>
        <w:rPr>
          <w:rFonts w:ascii="微软雅黑" w:hAnsi="微软雅黑" w:eastAsia="微软雅黑" w:cs="Tahoma"/>
          <w:kern w:val="0"/>
          <w:sz w:val="18"/>
          <w:szCs w:val="16"/>
        </w:rPr>
        <w:t>1.60mm</w:t>
      </w:r>
      <w:r>
        <w:rPr>
          <w:rFonts w:hint="eastAsia" w:ascii="微软雅黑" w:hAnsi="微软雅黑" w:eastAsia="微软雅黑" w:cs="Tahoma"/>
          <w:kern w:val="0"/>
          <w:sz w:val="18"/>
          <w:szCs w:val="16"/>
        </w:rPr>
        <w:t>，透光率</w:t>
      </w:r>
      <w:r>
        <w:rPr>
          <w:rFonts w:ascii="微软雅黑" w:hAnsi="微软雅黑" w:eastAsia="微软雅黑" w:cs="Tahoma"/>
          <w:kern w:val="0"/>
          <w:sz w:val="18"/>
          <w:szCs w:val="16"/>
        </w:rPr>
        <w:t>40%</w:t>
      </w:r>
      <w:r>
        <w:rPr>
          <w:rFonts w:hint="eastAsia" w:ascii="微软雅黑" w:hAnsi="微软雅黑" w:eastAsia="微软雅黑" w:cs="Tahoma"/>
          <w:kern w:val="0"/>
          <w:sz w:val="18"/>
          <w:szCs w:val="16"/>
        </w:rPr>
        <w:t>；</w:t>
      </w:r>
    </w:p>
    <w:p w14:paraId="0A841DFD"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 w:cs="Tahoma"/>
          <w:kern w:val="0"/>
          <w:sz w:val="18"/>
          <w:szCs w:val="16"/>
        </w:rPr>
      </w:pPr>
      <w:r>
        <w:rPr>
          <w:rFonts w:hint="eastAsia" w:ascii="微软雅黑" w:hAnsi="微软雅黑" w:eastAsia="微软雅黑" w:cs="Tahoma"/>
          <w:kern w:val="0"/>
          <w:sz w:val="18"/>
          <w:szCs w:val="16"/>
        </w:rPr>
        <w:t>PET底覆合底纸，全兼容喷绘，可用于UV喷绘</w:t>
      </w:r>
      <w:r>
        <w:rPr>
          <w:rFonts w:hint="eastAsia" w:ascii="微软雅黑" w:hAnsi="微软雅黑" w:eastAsia="微软雅黑" w:cs="Tahoma"/>
          <w:kern w:val="0"/>
          <w:sz w:val="18"/>
          <w:szCs w:val="16"/>
          <w:lang w:val="en-US" w:eastAsia="zh-CN"/>
        </w:rPr>
        <w:t>；</w:t>
      </w:r>
    </w:p>
    <w:p w14:paraId="2D68192B">
      <w:pPr>
        <w:numPr>
          <w:ilvl w:val="0"/>
          <w:numId w:val="1"/>
        </w:numPr>
        <w:autoSpaceDE w:val="0"/>
        <w:autoSpaceDN w:val="0"/>
        <w:adjustRightInd w:val="0"/>
        <w:ind w:left="360" w:leftChars="0" w:hanging="360" w:firstLineChars="0"/>
        <w:jc w:val="left"/>
        <w:rPr>
          <w:rFonts w:hint="eastAsia" w:ascii="微软雅黑" w:hAnsi="微软雅黑" w:eastAsia="微软雅黑" w:cs="Tahoma"/>
          <w:kern w:val="0"/>
          <w:sz w:val="18"/>
          <w:szCs w:val="16"/>
        </w:rPr>
      </w:pPr>
      <w:bookmarkStart w:id="0" w:name="OLE_LINK5"/>
      <w:bookmarkStart w:id="1" w:name="OLE_LINK1"/>
      <w:bookmarkStart w:id="2" w:name="OLE_LINK6"/>
      <w:bookmarkStart w:id="3" w:name="OLE_LINK3"/>
      <w:bookmarkStart w:id="4" w:name="OLE_LINK4"/>
      <w:bookmarkStart w:id="5" w:name="OLE_LINK2"/>
      <w:r>
        <w:rPr>
          <w:rFonts w:ascii="微软雅黑" w:hAnsi="微软雅黑" w:eastAsia="微软雅黑" w:cs="Tahoma"/>
          <w:kern w:val="0"/>
          <w:sz w:val="18"/>
          <w:szCs w:val="16"/>
        </w:rPr>
        <w:t>产品吸墨稳定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微软雅黑" w:hAnsi="微软雅黑" w:eastAsia="微软雅黑" w:cs="Tahoma"/>
          <w:kern w:val="0"/>
          <w:sz w:val="18"/>
          <w:szCs w:val="16"/>
        </w:rPr>
        <w:t>，尺寸稳定性高</w:t>
      </w:r>
      <w:r>
        <w:rPr>
          <w:rFonts w:hint="eastAsia" w:ascii="微软雅黑" w:hAnsi="微软雅黑" w:eastAsia="微软雅黑" w:cs="Tahoma"/>
          <w:kern w:val="0"/>
          <w:sz w:val="18"/>
          <w:szCs w:val="16"/>
          <w:lang w:val="en-US" w:eastAsia="zh-CN"/>
        </w:rPr>
        <w:t>；</w:t>
      </w:r>
    </w:p>
    <w:p w14:paraId="0A568D0A">
      <w:pPr>
        <w:numPr>
          <w:ilvl w:val="0"/>
          <w:numId w:val="1"/>
        </w:numPr>
        <w:autoSpaceDE w:val="0"/>
        <w:autoSpaceDN w:val="0"/>
        <w:adjustRightInd w:val="0"/>
        <w:ind w:left="360" w:leftChars="0" w:hanging="360" w:firstLineChars="0"/>
        <w:jc w:val="left"/>
        <w:rPr>
          <w:rFonts w:hint="eastAsia" w:ascii="微软雅黑" w:hAnsi="微软雅黑" w:eastAsia="微软雅黑" w:cs="Tahoma"/>
          <w:kern w:val="0"/>
          <w:sz w:val="18"/>
          <w:szCs w:val="16"/>
        </w:rPr>
      </w:pPr>
      <w:r>
        <w:rPr>
          <w:rFonts w:hint="eastAsia" w:ascii="微软雅黑" w:hAnsi="微软雅黑" w:eastAsia="微软雅黑" w:cs="Tahoma"/>
          <w:kern w:val="0"/>
          <w:sz w:val="18"/>
          <w:szCs w:val="16"/>
        </w:rPr>
        <w:t>通过REACH(</w:t>
      </w:r>
      <w:r>
        <w:rPr>
          <w:rFonts w:ascii="微软雅黑" w:hAnsi="微软雅黑" w:eastAsia="微软雅黑" w:cs="Tahoma"/>
          <w:kern w:val="0"/>
          <w:sz w:val="18"/>
          <w:szCs w:val="16"/>
        </w:rPr>
        <w:t>NO 1907/2006</w:t>
      </w:r>
      <w:r>
        <w:rPr>
          <w:rFonts w:hint="eastAsia" w:ascii="微软雅黑" w:hAnsi="微软雅黑" w:eastAsia="微软雅黑" w:cs="Tahoma"/>
          <w:kern w:val="0"/>
          <w:sz w:val="18"/>
          <w:szCs w:val="16"/>
        </w:rPr>
        <w:t>)、RoSH2.0认证，符合欧盟环保要求</w:t>
      </w:r>
      <w:r>
        <w:rPr>
          <w:rFonts w:hint="eastAsia" w:ascii="微软雅黑" w:hAnsi="微软雅黑" w:eastAsia="微软雅黑" w:cs="Tahoma"/>
          <w:kern w:val="0"/>
          <w:sz w:val="18"/>
          <w:szCs w:val="16"/>
          <w:lang w:eastAsia="zh-CN"/>
        </w:rPr>
        <w:t>。</w:t>
      </w:r>
    </w:p>
    <w:p w14:paraId="2252CD10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产品应用： </w:t>
      </w:r>
    </w:p>
    <w:p w14:paraId="13AC68C2">
      <w:p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适用于</w:t>
      </w:r>
      <w:r>
        <w:rPr>
          <w:rFonts w:hint="eastAsia" w:ascii="微软雅黑" w:hAnsi="微软雅黑" w:eastAsia="微软雅黑"/>
          <w:sz w:val="18"/>
          <w:szCs w:val="16"/>
        </w:rPr>
        <w:t>玻璃应用，同时也可适用于透明</w:t>
      </w:r>
      <w:r>
        <w:rPr>
          <w:rFonts w:hint="eastAsia" w:ascii="微软雅黑" w:hAnsi="微软雅黑" w:eastAsia="微软雅黑"/>
          <w:sz w:val="18"/>
        </w:rPr>
        <w:t>亚克力板、PVC、PET透明板等。</w:t>
      </w:r>
    </w:p>
    <w:p w14:paraId="21CD5F30">
      <w:p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本产品推荐使用UV喷绘；还适用于</w:t>
      </w:r>
      <w:r>
        <w:rPr>
          <w:rFonts w:hint="eastAsia" w:ascii="微软雅黑" w:hAnsi="微软雅黑" w:eastAsia="微软雅黑"/>
          <w:color w:val="000000"/>
          <w:sz w:val="18"/>
        </w:rPr>
        <w:t>各种溶剂型、弱溶剂型墨水喷印方式。</w:t>
      </w:r>
    </w:p>
    <w:p w14:paraId="214F37E1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技术参数： </w:t>
      </w:r>
    </w:p>
    <w:p w14:paraId="41906B56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测试条件：室内温度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23±2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50±5%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，以铝板、玻璃、钢板作为基材测试。</w:t>
      </w:r>
    </w:p>
    <w:tbl>
      <w:tblPr>
        <w:tblStyle w:val="5"/>
        <w:tblW w:w="6801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single" w:color="000000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1195"/>
        <w:gridCol w:w="2119"/>
        <w:gridCol w:w="1337"/>
      </w:tblGrid>
      <w:tr w14:paraId="0BF548A5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215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shd w:val="clear" w:color="auto" w:fill="auto"/>
          </w:tcPr>
          <w:p w14:paraId="05B29325">
            <w:pPr>
              <w:ind w:firstLine="320"/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sz w:val="16"/>
                <w:szCs w:val="18"/>
              </w:rPr>
              <w:t>指标</w:t>
            </w:r>
          </w:p>
        </w:tc>
        <w:tc>
          <w:tcPr>
            <w:tcW w:w="119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shd w:val="clear" w:color="auto" w:fill="auto"/>
          </w:tcPr>
          <w:p w14:paraId="67215E44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sz w:val="16"/>
                <w:szCs w:val="18"/>
              </w:rPr>
              <w:t>单位</w:t>
            </w:r>
          </w:p>
        </w:tc>
        <w:tc>
          <w:tcPr>
            <w:tcW w:w="211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shd w:val="clear" w:color="auto" w:fill="auto"/>
          </w:tcPr>
          <w:p w14:paraId="6AB6D1E8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sz w:val="16"/>
                <w:szCs w:val="18"/>
              </w:rPr>
              <w:t>测试方法</w:t>
            </w:r>
          </w:p>
        </w:tc>
        <w:tc>
          <w:tcPr>
            <w:tcW w:w="133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tl2br w:val="nil"/>
              <w:tr2bl w:val="nil"/>
            </w:tcBorders>
            <w:shd w:val="clear" w:color="auto" w:fill="auto"/>
          </w:tcPr>
          <w:p w14:paraId="2AB0D3F0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sz w:val="16"/>
                <w:szCs w:val="18"/>
              </w:rPr>
              <w:t>标准</w:t>
            </w:r>
          </w:p>
        </w:tc>
      </w:tr>
      <w:tr w14:paraId="64AC5D37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atLeast"/>
        </w:trPr>
        <w:tc>
          <w:tcPr>
            <w:tcW w:w="2150" w:type="dxa"/>
            <w:shd w:val="clear" w:color="auto" w:fill="auto"/>
          </w:tcPr>
          <w:p w14:paraId="2E550547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PVC 膜厚度</w:t>
            </w:r>
          </w:p>
          <w:p w14:paraId="4EBCD540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hint="eastAsia" w:ascii="Tahoma" w:hAnsi="Tahoma" w:cs="Tahoma"/>
                <w:sz w:val="16"/>
                <w:szCs w:val="18"/>
              </w:rPr>
              <w:t>底纸克重</w:t>
            </w:r>
          </w:p>
          <w:p w14:paraId="5CAF70B9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成品重量</w:t>
            </w:r>
          </w:p>
          <w:p w14:paraId="0B4D7030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kern w:val="0"/>
                <w:sz w:val="16"/>
                <w:szCs w:val="18"/>
              </w:rPr>
              <w:t>24h，180°剥离力</w:t>
            </w:r>
          </w:p>
          <w:p w14:paraId="0342786B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尺寸稳定性MD</w:t>
            </w:r>
          </w:p>
          <w:p w14:paraId="77074D83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尺寸稳定性CD</w:t>
            </w:r>
          </w:p>
          <w:p w14:paraId="6ECA98F2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拉伸强度 MD</w:t>
            </w:r>
          </w:p>
          <w:p w14:paraId="58C33350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拉伸强度 CD</w:t>
            </w:r>
          </w:p>
          <w:p w14:paraId="73FA0E0F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施工温度</w:t>
            </w:r>
          </w:p>
          <w:p w14:paraId="26C07016">
            <w:pPr>
              <w:rPr>
                <w:rFonts w:ascii="Tahoma" w:hAnsi="Tahoma" w:cs="Tahoma"/>
                <w:b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适用温度</w:t>
            </w:r>
          </w:p>
        </w:tc>
        <w:tc>
          <w:tcPr>
            <w:tcW w:w="1195" w:type="dxa"/>
            <w:shd w:val="clear" w:color="auto" w:fill="auto"/>
          </w:tcPr>
          <w:p w14:paraId="622DEBCD">
            <w:pPr>
              <w:rPr>
                <w:rFonts w:ascii="Tahoma" w:hAnsi="Tahoma" w:cs="Tahoma"/>
                <w:bCs/>
                <w:sz w:val="16"/>
              </w:rPr>
            </w:pPr>
            <w:r>
              <w:rPr>
                <w:rFonts w:ascii="Tahoma" w:hAnsi="Tahoma" w:cs="Tahoma"/>
                <w:bCs/>
                <w:sz w:val="16"/>
              </w:rPr>
              <w:t>Micron</w:t>
            </w:r>
          </w:p>
          <w:p w14:paraId="029EB505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g/m²</w:t>
            </w:r>
          </w:p>
          <w:p w14:paraId="57A19130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g/m²</w:t>
            </w:r>
          </w:p>
          <w:p w14:paraId="53EE50A1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N/25mm</w:t>
            </w:r>
          </w:p>
          <w:p w14:paraId="33DFB73A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mm</w:t>
            </w:r>
          </w:p>
          <w:p w14:paraId="02B91E92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mm</w:t>
            </w:r>
          </w:p>
          <w:p w14:paraId="7D98AF11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N/25 mm</w:t>
            </w:r>
          </w:p>
          <w:p w14:paraId="3941E8C9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N/25 mm</w:t>
            </w:r>
          </w:p>
          <w:p w14:paraId="20E737F5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hint="eastAsia" w:ascii="宋体" w:hAnsi="宋体" w:cs="宋体"/>
                <w:bCs/>
                <w:sz w:val="16"/>
                <w:szCs w:val="18"/>
              </w:rPr>
              <w:t>℃</w:t>
            </w:r>
          </w:p>
          <w:p w14:paraId="51C9BD36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hint="eastAsia" w:ascii="宋体" w:hAnsi="宋体" w:cs="宋体"/>
                <w:bCs/>
                <w:sz w:val="16"/>
                <w:szCs w:val="18"/>
              </w:rPr>
              <w:t>℃</w:t>
            </w:r>
          </w:p>
        </w:tc>
        <w:tc>
          <w:tcPr>
            <w:tcW w:w="2119" w:type="dxa"/>
            <w:shd w:val="clear" w:color="auto" w:fill="auto"/>
          </w:tcPr>
          <w:p w14:paraId="5B839635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GB/T6672-2001</w:t>
            </w:r>
          </w:p>
          <w:p w14:paraId="58CEEF94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GB4669-1995</w:t>
            </w:r>
          </w:p>
          <w:p w14:paraId="1CBFC43F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GB4669-1995</w:t>
            </w:r>
          </w:p>
          <w:p w14:paraId="382E1ABF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FTM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1</w:t>
            </w:r>
          </w:p>
          <w:p w14:paraId="5A6AFDC5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FTM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14</w:t>
            </w:r>
          </w:p>
          <w:p w14:paraId="0F29DD48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FTM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 xml:space="preserve">14   </w:t>
            </w:r>
          </w:p>
          <w:p w14:paraId="2C1D214C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GB/T1040.1-2006</w:t>
            </w:r>
          </w:p>
          <w:p w14:paraId="375D3875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GB/T1040.1-2006</w:t>
            </w:r>
          </w:p>
          <w:p w14:paraId="67AEC1D3">
            <w:pPr>
              <w:rPr>
                <w:rFonts w:ascii="Tahoma" w:hAnsi="Tahoma" w:cs="Tahoma"/>
                <w:bCs/>
                <w:sz w:val="16"/>
                <w:szCs w:val="18"/>
              </w:rPr>
            </w:pPr>
          </w:p>
        </w:tc>
        <w:tc>
          <w:tcPr>
            <w:tcW w:w="1337" w:type="dxa"/>
            <w:shd w:val="clear" w:color="auto" w:fill="auto"/>
          </w:tcPr>
          <w:p w14:paraId="148B20C6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1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4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0±10</w:t>
            </w:r>
          </w:p>
          <w:p w14:paraId="65BA44C2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hint="eastAsia" w:ascii="Tahoma" w:hAnsi="Tahoma" w:cs="Tahoma"/>
                <w:sz w:val="16"/>
                <w:szCs w:val="18"/>
              </w:rPr>
              <w:t>100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±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10</w:t>
            </w:r>
          </w:p>
          <w:p w14:paraId="38EBE982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hint="eastAsia" w:ascii="Tahoma" w:hAnsi="Tahoma" w:cs="Tahoma"/>
                <w:bCs/>
                <w:sz w:val="16"/>
                <w:szCs w:val="18"/>
              </w:rPr>
              <w:t>245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±20</w:t>
            </w:r>
          </w:p>
          <w:p w14:paraId="32C9C198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≥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4</w:t>
            </w:r>
          </w:p>
          <w:p w14:paraId="2DB5A6EA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≤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1.5</w:t>
            </w:r>
          </w:p>
          <w:p w14:paraId="46599A87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≤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1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.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0</w:t>
            </w:r>
          </w:p>
          <w:p w14:paraId="2CF3B107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≥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25</w:t>
            </w:r>
          </w:p>
          <w:p w14:paraId="673F5F27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≥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20</w:t>
            </w:r>
          </w:p>
          <w:p w14:paraId="6920DE53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hint="eastAsia" w:ascii="Tahoma" w:hAnsi="Tahoma" w:cs="Tahoma"/>
                <w:bCs/>
                <w:sz w:val="16"/>
                <w:szCs w:val="18"/>
              </w:rPr>
              <w:t>20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±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1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0</w:t>
            </w:r>
          </w:p>
          <w:p w14:paraId="12FBB90F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-20 ~ +70</w:t>
            </w:r>
          </w:p>
        </w:tc>
      </w:tr>
    </w:tbl>
    <w:p w14:paraId="36131B26"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*以上所有参数的变更恕不另行通知</w:t>
      </w:r>
    </w:p>
    <w:p w14:paraId="505A1073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仓储条件： </w:t>
      </w:r>
    </w:p>
    <w:p w14:paraId="57809EB0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的产品需储放在原始包装中用原始的保护材料，建议密封保存，水平放置，叠放层高不宜超过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层，避免阳光直射、热源直接接触。仓储温度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50±15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。在这种条件下，该产品储存期是一年。</w:t>
      </w:r>
    </w:p>
    <w:p w14:paraId="54619D5B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打印制作要求： </w:t>
      </w:r>
    </w:p>
    <w:p w14:paraId="67DF6478"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制作环境：</w:t>
      </w:r>
      <w:r>
        <w:rPr>
          <w:rFonts w:ascii="微软雅黑" w:hAnsi="微软雅黑" w:eastAsia="微软雅黑" w:cstheme="minorHAns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产品建议在温度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%，洁净无尘、无悬浮物的环境下使用；建议产品需提前24h从仓储环境转移至喷绘环境。墨水因匹配的设备不同，所以使用前请先测试；建议喷绘时需要留足够白边空隙。</w:t>
      </w:r>
    </w:p>
    <w:p w14:paraId="2CBF1E17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张贴要求：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；粘贴于平整、光滑、洁净、表面无浮尘、表皮无脱落的物体表面，贴合必要养护时间需要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小时以上。</w:t>
      </w:r>
    </w:p>
    <w:p w14:paraId="4D67792E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62D12972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质保条件： </w:t>
      </w:r>
    </w:p>
    <w:p w14:paraId="681058EA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、保质期为一年：</w:t>
      </w:r>
      <w:r>
        <w:rPr>
          <w:rFonts w:hint="eastAsia" w:ascii="微软雅黑" w:hAnsi="微软雅黑" w:eastAsia="微软雅黑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>单透膜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产品需满足仓储条件，半年内使用最佳。</w:t>
      </w:r>
    </w:p>
    <w:p w14:paraId="6FBA1BF4"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2、追诉期：自产品生产之日起一年内，逾期不接受投诉。</w:t>
      </w:r>
    </w:p>
    <w:p w14:paraId="28D94E67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重要备注： </w:t>
      </w:r>
    </w:p>
    <w:p w14:paraId="75E7E720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所有有关材料的说明、技术信息及应用推荐是基于我们认为可信的典型性测试结果，</w:t>
      </w:r>
      <w:bookmarkStart w:id="6" w:name="OLE_LINK14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不同国家、地区环境湿度高于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70%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以上喷绘打印效果有所下降。</w:t>
      </w:r>
      <w:bookmarkEnd w:id="6"/>
    </w:p>
    <w:p w14:paraId="0B4FFEE9">
      <w:pPr>
        <w:autoSpaceDE w:val="0"/>
        <w:autoSpaceDN w:val="0"/>
        <w:jc w:val="left"/>
        <w:rPr>
          <w:rFonts w:ascii="宋体" w:hAnsi="宋体" w:cs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FFFFFF" w:themeColor="background1"/>
          <w:shd w:val="clear" w:color="auto" w:fill="005BAC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FFFFFF" w:themeColor="background1"/>
          <w:sz w:val="24"/>
          <w:shd w:val="clear" w:color="auto" w:fill="005BAC"/>
          <w14:textFill>
            <w14:solidFill>
              <w14:schemeClr w14:val="bg1"/>
            </w14:solidFill>
          </w14:textFill>
        </w:rPr>
        <w:t xml:space="preserve"> 产品应用：</w:t>
      </w:r>
    </w:p>
    <w:p w14:paraId="6DBAEA79">
      <w:pPr>
        <w:rPr>
          <w:rFonts w:ascii="微软雅黑" w:hAnsi="微软雅黑" w:eastAsia="微软雅黑" w:cs="宋体"/>
          <w:szCs w:val="21"/>
        </w:rPr>
      </w:pPr>
      <w:r>
        <w:rPr>
          <w:rFonts w:hint="eastAsia" w:ascii="微软雅黑" w:hAnsi="微软雅黑" w:eastAsia="微软雅黑" w:cs="宋体"/>
          <w:szCs w:val="21"/>
        </w:rPr>
        <w:t>※地铁公交站台：</w:t>
      </w:r>
    </w:p>
    <w:p w14:paraId="138EF630">
      <w:r>
        <w:drawing>
          <wp:inline distT="0" distB="0" distL="0" distR="0">
            <wp:extent cx="6630670" cy="2750820"/>
            <wp:effectExtent l="0" t="0" r="0" b="0"/>
            <wp:docPr id="5" name="图片 5" descr="C:\Users\N2098\Desktop\白皮书应用图片\玻璃装饰应用\单透膜\中档\3309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N2098\Desktop\白皮书应用图片\玻璃装饰应用\单透膜\中档\3309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1305" cy="275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466465" cy="2703195"/>
            <wp:effectExtent l="0" t="0" r="635" b="1905"/>
            <wp:docPr id="2" name="图片 2" descr="C:\Users\N2098\Desktop\白皮书应用图片\玻璃装饰应用\单透膜\中档\3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N2098\Desktop\白皮书应用图片\玻璃装饰应用\单透膜\中档\33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6985" cy="2703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drawing>
          <wp:inline distT="0" distB="0" distL="0" distR="0">
            <wp:extent cx="2710815" cy="2710815"/>
            <wp:effectExtent l="0" t="0" r="0" b="0"/>
            <wp:docPr id="1" name="图片 1" descr="C:\Users\N2098\Desktop\白皮书应用图片\玻璃装饰应用\单透膜\中档\3309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N2098\Desktop\白皮书应用图片\玻璃装饰应用\单透膜\中档\3309 (3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1564" cy="271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6BED5"/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ABDD68">
    <w:pPr>
      <w:pStyle w:val="3"/>
    </w:pPr>
    <w:r>
      <w:drawing>
        <wp:inline distT="0" distB="0" distL="0" distR="0">
          <wp:extent cx="6592570" cy="88265"/>
          <wp:effectExtent l="0" t="0" r="0" b="698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883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C2C6A4">
    <w:pPr>
      <w:pStyle w:val="4"/>
    </w:pPr>
    <w:r>
      <w:pict>
        <v:shape id="WordPictureWatermark9255775" o:spid="_x0000_s4098" o:spt="75" type="#_x0000_t75" style="position:absolute;left:0pt;height:188.75pt;width:398.7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  <w:r>
      <w:drawing>
        <wp:inline distT="0" distB="0" distL="0" distR="0">
          <wp:extent cx="6583680" cy="42354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3693" cy="42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452D84">
    <w:pPr>
      <w:pStyle w:val="4"/>
    </w:pPr>
    <w:r>
      <w:pict>
        <v:shape id="WordPictureWatermark9255774" o:spid="_x0000_s4099" o:spt="75" type="#_x0000_t75" style="position:absolute;left:0pt;height:188.75pt;width:398.7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B09368">
    <w:pPr>
      <w:pStyle w:val="4"/>
    </w:pPr>
    <w:r>
      <w:pict>
        <v:shape id="WordPictureWatermark9255773" o:spid="_x0000_s4097" o:spt="75" type="#_x0000_t75" style="position:absolute;left:0pt;height:188.75pt;width:398.7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6873BB"/>
    <w:multiLevelType w:val="multilevel"/>
    <w:tmpl w:val="366873B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1FB"/>
    <w:rsid w:val="00003033"/>
    <w:rsid w:val="001D0ECB"/>
    <w:rsid w:val="00240ED8"/>
    <w:rsid w:val="00287969"/>
    <w:rsid w:val="002D6FC2"/>
    <w:rsid w:val="00315FCF"/>
    <w:rsid w:val="00347532"/>
    <w:rsid w:val="00350D61"/>
    <w:rsid w:val="0038369D"/>
    <w:rsid w:val="003E3B8F"/>
    <w:rsid w:val="003F3823"/>
    <w:rsid w:val="00457B6A"/>
    <w:rsid w:val="00466487"/>
    <w:rsid w:val="004D7D44"/>
    <w:rsid w:val="004F1686"/>
    <w:rsid w:val="00513DB2"/>
    <w:rsid w:val="00543AE4"/>
    <w:rsid w:val="0055204F"/>
    <w:rsid w:val="005863C0"/>
    <w:rsid w:val="005F0BF2"/>
    <w:rsid w:val="00621927"/>
    <w:rsid w:val="00627042"/>
    <w:rsid w:val="006555CD"/>
    <w:rsid w:val="007011BC"/>
    <w:rsid w:val="007A1116"/>
    <w:rsid w:val="007D7C29"/>
    <w:rsid w:val="007F1C8F"/>
    <w:rsid w:val="007F6058"/>
    <w:rsid w:val="0083665C"/>
    <w:rsid w:val="008B09D7"/>
    <w:rsid w:val="008E1764"/>
    <w:rsid w:val="008E2276"/>
    <w:rsid w:val="00953E43"/>
    <w:rsid w:val="009A33B8"/>
    <w:rsid w:val="00A06E5E"/>
    <w:rsid w:val="00A55905"/>
    <w:rsid w:val="00A97BE3"/>
    <w:rsid w:val="00AB0FBA"/>
    <w:rsid w:val="00AB1E91"/>
    <w:rsid w:val="00AF792A"/>
    <w:rsid w:val="00B02D39"/>
    <w:rsid w:val="00B336C1"/>
    <w:rsid w:val="00B85DDF"/>
    <w:rsid w:val="00BD321A"/>
    <w:rsid w:val="00C46C6B"/>
    <w:rsid w:val="00C46E52"/>
    <w:rsid w:val="00CB3F6C"/>
    <w:rsid w:val="00CC12F2"/>
    <w:rsid w:val="00D13ADC"/>
    <w:rsid w:val="00D612C2"/>
    <w:rsid w:val="00D80338"/>
    <w:rsid w:val="00D8067F"/>
    <w:rsid w:val="00D84C2C"/>
    <w:rsid w:val="00D8667C"/>
    <w:rsid w:val="00DB45DD"/>
    <w:rsid w:val="00DD193F"/>
    <w:rsid w:val="00DD5808"/>
    <w:rsid w:val="00E324C1"/>
    <w:rsid w:val="00E54772"/>
    <w:rsid w:val="00E67D0D"/>
    <w:rsid w:val="00E861FB"/>
    <w:rsid w:val="00EF4A58"/>
    <w:rsid w:val="00EF6676"/>
    <w:rsid w:val="00F36A6A"/>
    <w:rsid w:val="00F92B70"/>
    <w:rsid w:val="10FC2C6F"/>
    <w:rsid w:val="17DD4DBD"/>
    <w:rsid w:val="24484B94"/>
    <w:rsid w:val="28C63CD1"/>
    <w:rsid w:val="29C34B1D"/>
    <w:rsid w:val="376A3226"/>
    <w:rsid w:val="3D852EDD"/>
    <w:rsid w:val="541713D4"/>
    <w:rsid w:val="608B1A24"/>
    <w:rsid w:val="679570C6"/>
    <w:rsid w:val="7B3D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table" w:customStyle="1" w:styleId="10">
    <w:name w:val="浅色底纹1"/>
    <w:basedOn w:val="5"/>
    <w:qFormat/>
    <w:uiPriority w:val="60"/>
    <w:rPr>
      <w:rFonts w:ascii="Times New Roman" w:hAnsi="Times New Roman" w:eastAsia="宋体" w:cs="Times New Roman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9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8375E3-96BA-4C5F-BE99-F98CB7D86C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757</Words>
  <Characters>1012</Characters>
  <Lines>7</Lines>
  <Paragraphs>2</Paragraphs>
  <TotalTime>3</TotalTime>
  <ScaleCrop>false</ScaleCrop>
  <LinksUpToDate>false</LinksUpToDate>
  <CharactersWithSpaces>1064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2018-08-27T13:59:00Z</dcterms:created>
  <dc:creator>Qin Yu-秦超(NAR)</dc:creator>
  <cp:lastModifiedBy>006152</cp:lastModifiedBy>
  <cp:lastPrinted>2018-08-20T01:40:00Z</cp:lastPrinted>
  <dcterms:modified xsi:type="dcterms:W3CDTF">2025-07-04T08:04:16Z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F1AD02667E85424D882172D16054E9D7_13</vt:lpwstr>
  </property>
</Properties>
</file>