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23F70">
      <w:pPr>
        <w:spacing w:line="180" w:lineRule="exact"/>
        <w:rPr>
          <w:rFonts w:ascii="Arial" w:hAnsi="Arial" w:cs="Arial"/>
          <w:b/>
          <w:color w:val="005BAC"/>
          <w:sz w:val="18"/>
          <w:szCs w:val="36"/>
        </w:rPr>
      </w:pPr>
      <w:bookmarkStart w:id="7" w:name="_GoBack"/>
      <w:bookmarkEnd w:id="7"/>
    </w:p>
    <w:p w14:paraId="3D81B0BC">
      <w:pPr>
        <w:spacing w:line="0" w:lineRule="atLeast"/>
        <w:rPr>
          <w:rFonts w:hint="eastAsia" w:ascii="Arial" w:hAnsi="Arial" w:cs="Arial" w:eastAsiaTheme="minorEastAsia"/>
          <w:b/>
          <w:color w:val="005BAC"/>
          <w:sz w:val="36"/>
          <w:szCs w:val="36"/>
          <w:lang w:val="en-US" w:eastAsia="zh-CN"/>
        </w:rPr>
      </w:pPr>
      <w:r>
        <w:rPr>
          <w:rFonts w:hint="eastAsia" w:ascii="Arial" w:hAnsi="Arial" w:cs="Arial"/>
          <w:b/>
          <w:color w:val="005BAC"/>
          <w:sz w:val="36"/>
          <w:szCs w:val="36"/>
        </w:rPr>
        <w:t>NO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4</w:t>
      </w:r>
      <w:r>
        <w:rPr>
          <w:rFonts w:hint="eastAsia" w:ascii="Arial" w:hAnsi="Arial" w:cs="Arial"/>
          <w:b/>
          <w:color w:val="005BAC"/>
          <w:sz w:val="36"/>
          <w:szCs w:val="36"/>
        </w:rPr>
        <w:t>3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8</w:t>
      </w:r>
      <w:r>
        <w:rPr>
          <w:rFonts w:hint="eastAsia" w:ascii="Arial" w:hAnsi="Arial" w:cs="Arial"/>
          <w:b/>
          <w:color w:val="005BAC"/>
          <w:sz w:val="36"/>
          <w:szCs w:val="36"/>
        </w:rPr>
        <w:t>0T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F</w:t>
      </w:r>
    </w:p>
    <w:p w14:paraId="65757F4A">
      <w:pPr>
        <w:spacing w:line="280" w:lineRule="exact"/>
        <w:rPr>
          <w:rFonts w:ascii="微软雅黑" w:hAnsi="微软雅黑" w:eastAsia="微软雅黑" w:cs="Arial"/>
          <w:b/>
          <w:color w:val="005BAC"/>
          <w:sz w:val="24"/>
          <w:szCs w:val="24"/>
        </w:rPr>
      </w:pPr>
      <w:r>
        <w:rPr>
          <w:rFonts w:hint="eastAsia" w:ascii="微软雅黑" w:hAnsi="微软雅黑" w:eastAsia="微软雅黑" w:cs="Arial"/>
          <w:b/>
          <w:color w:val="005BAC"/>
          <w:sz w:val="24"/>
          <w:szCs w:val="24"/>
          <w:lang w:val="en-US" w:eastAsia="zh-CN"/>
        </w:rPr>
        <w:t>全兼容</w:t>
      </w:r>
      <w:r>
        <w:rPr>
          <w:rFonts w:hint="eastAsia" w:ascii="微软雅黑" w:hAnsi="微软雅黑" w:eastAsia="微软雅黑" w:cs="Arial"/>
          <w:b/>
          <w:color w:val="005BAC"/>
          <w:sz w:val="24"/>
          <w:szCs w:val="24"/>
        </w:rPr>
        <w:t>三层单透膜</w:t>
      </w:r>
    </w:p>
    <w:p w14:paraId="21B028AF">
      <w:pPr>
        <w:spacing w:line="320" w:lineRule="exact"/>
        <w:rPr>
          <w:rFonts w:ascii="Tahoma" w:hAnsi="Tahoma" w:cs="Tahoma"/>
          <w:sz w:val="18"/>
          <w:szCs w:val="21"/>
        </w:rPr>
      </w:pPr>
    </w:p>
    <w:p w14:paraId="7197C150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产品描述： </w:t>
      </w:r>
    </w:p>
    <w:p w14:paraId="7FB36A06"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面膜：1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6</w:t>
      </w:r>
      <w:r>
        <w:rPr>
          <w:rFonts w:hint="eastAsia" w:ascii="微软雅黑" w:hAnsi="微软雅黑" w:eastAsia="微软雅黑"/>
          <w:sz w:val="18"/>
          <w:szCs w:val="18"/>
        </w:rPr>
        <w:t>0micron PVC黑白膜；</w:t>
      </w:r>
    </w:p>
    <w:p w14:paraId="7DA37A68"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胶水：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透明胶</w:t>
      </w:r>
    </w:p>
    <w:p w14:paraId="62157B2A"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底纸：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75</w:t>
      </w:r>
      <w:r>
        <w:rPr>
          <w:rFonts w:hint="eastAsia" w:ascii="微软雅黑" w:hAnsi="微软雅黑" w:eastAsia="微软雅黑"/>
          <w:sz w:val="18"/>
          <w:szCs w:val="18"/>
        </w:rPr>
        <w:t xml:space="preserve">g冲孔纸+ 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120</w:t>
      </w:r>
      <w:r>
        <w:rPr>
          <w:rFonts w:hint="eastAsia" w:ascii="微软雅黑" w:hAnsi="微软雅黑" w:eastAsia="微软雅黑"/>
          <w:sz w:val="18"/>
        </w:rPr>
        <w:t>gsm原纸</w:t>
      </w:r>
    </w:p>
    <w:p w14:paraId="69EE8488"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宽幅：1.06/1.27/1.37/1.52m</w:t>
      </w:r>
    </w:p>
    <w:p w14:paraId="582D0DAA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产品特点： </w:t>
      </w:r>
    </w:p>
    <w:p w14:paraId="0C307B51">
      <w:pPr>
        <w:autoSpaceDE w:val="0"/>
        <w:autoSpaceDN w:val="0"/>
        <w:adjustRightInd w:val="0"/>
        <w:jc w:val="left"/>
        <w:rPr>
          <w:rFonts w:ascii="微软雅黑" w:hAnsi="微软雅黑" w:eastAsia="微软雅黑" w:cs="Tahoma"/>
          <w:kern w:val="0"/>
          <w:sz w:val="18"/>
          <w:szCs w:val="16"/>
        </w:rPr>
      </w:pPr>
      <w:r>
        <w:rPr>
          <w:rFonts w:hint="eastAsia" w:ascii="微软雅黑" w:hAnsi="微软雅黑" w:eastAsia="微软雅黑" w:cs="Tahoma"/>
          <w:kern w:val="0"/>
          <w:sz w:val="18"/>
          <w:szCs w:val="16"/>
        </w:rPr>
        <w:t>1、三层贴合，</w:t>
      </w:r>
      <w:r>
        <w:rPr>
          <w:rFonts w:hint="eastAsia" w:ascii="微软雅黑" w:hAnsi="微软雅黑" w:eastAsia="微软雅黑" w:cs="Tahoma"/>
          <w:kern w:val="0"/>
          <w:sz w:val="18"/>
          <w:szCs w:val="16"/>
          <w:lang w:val="en-US" w:eastAsia="zh-CN"/>
        </w:rPr>
        <w:t>适应用于多种机型喷绘</w:t>
      </w:r>
      <w:r>
        <w:rPr>
          <w:rFonts w:hint="eastAsia" w:ascii="微软雅黑" w:hAnsi="微软雅黑" w:eastAsia="微软雅黑" w:cs="Tahoma"/>
          <w:kern w:val="0"/>
          <w:sz w:val="18"/>
          <w:szCs w:val="16"/>
        </w:rPr>
        <w:t>；</w:t>
      </w:r>
    </w:p>
    <w:p w14:paraId="41C2D2C5">
      <w:pPr>
        <w:autoSpaceDE w:val="0"/>
        <w:autoSpaceDN w:val="0"/>
        <w:adjustRightInd w:val="0"/>
        <w:jc w:val="left"/>
        <w:rPr>
          <w:rFonts w:ascii="微软雅黑" w:hAnsi="微软雅黑" w:eastAsia="微软雅黑" w:cs="Tahoma"/>
          <w:kern w:val="0"/>
          <w:sz w:val="18"/>
          <w:szCs w:val="16"/>
        </w:rPr>
      </w:pPr>
      <w:r>
        <w:rPr>
          <w:rFonts w:hint="eastAsia" w:ascii="微软雅黑" w:hAnsi="微软雅黑" w:eastAsia="微软雅黑" w:cs="Tahoma"/>
          <w:kern w:val="0"/>
          <w:sz w:val="18"/>
          <w:szCs w:val="16"/>
        </w:rPr>
        <w:t>2、单向透视、遮光、保护个人隐私等功能；孔径</w:t>
      </w:r>
      <w:r>
        <w:rPr>
          <w:rFonts w:ascii="微软雅黑" w:hAnsi="微软雅黑" w:eastAsia="微软雅黑" w:cs="Tahoma"/>
          <w:kern w:val="0"/>
          <w:sz w:val="18"/>
          <w:szCs w:val="16"/>
        </w:rPr>
        <w:t>1.60mm</w:t>
      </w:r>
      <w:r>
        <w:rPr>
          <w:rFonts w:hint="eastAsia" w:ascii="微软雅黑" w:hAnsi="微软雅黑" w:eastAsia="微软雅黑" w:cs="Tahoma"/>
          <w:kern w:val="0"/>
          <w:sz w:val="18"/>
          <w:szCs w:val="16"/>
        </w:rPr>
        <w:t>，透光率</w:t>
      </w:r>
      <w:r>
        <w:rPr>
          <w:rFonts w:ascii="微软雅黑" w:hAnsi="微软雅黑" w:eastAsia="微软雅黑" w:cs="Tahoma"/>
          <w:kern w:val="0"/>
          <w:sz w:val="18"/>
          <w:szCs w:val="16"/>
        </w:rPr>
        <w:t>40%</w:t>
      </w:r>
      <w:r>
        <w:rPr>
          <w:rFonts w:hint="eastAsia" w:ascii="微软雅黑" w:hAnsi="微软雅黑" w:eastAsia="微软雅黑" w:cs="Tahoma"/>
          <w:kern w:val="0"/>
          <w:sz w:val="18"/>
          <w:szCs w:val="16"/>
        </w:rPr>
        <w:t>；</w:t>
      </w:r>
    </w:p>
    <w:p w14:paraId="150334BD">
      <w:pPr>
        <w:autoSpaceDE w:val="0"/>
        <w:autoSpaceDN w:val="0"/>
        <w:adjustRightInd w:val="0"/>
        <w:jc w:val="left"/>
        <w:rPr>
          <w:rFonts w:ascii="微软雅黑" w:hAnsi="微软雅黑" w:eastAsia="微软雅黑" w:cs="Tahoma"/>
          <w:kern w:val="0"/>
          <w:sz w:val="18"/>
          <w:szCs w:val="16"/>
        </w:rPr>
      </w:pPr>
      <w:bookmarkStart w:id="0" w:name="OLE_LINK4"/>
      <w:bookmarkStart w:id="1" w:name="OLE_LINK2"/>
      <w:bookmarkStart w:id="2" w:name="OLE_LINK6"/>
      <w:bookmarkStart w:id="3" w:name="OLE_LINK3"/>
      <w:bookmarkStart w:id="4" w:name="OLE_LINK5"/>
      <w:bookmarkStart w:id="5" w:name="OLE_LINK1"/>
      <w:r>
        <w:rPr>
          <w:rFonts w:hint="eastAsia" w:ascii="微软雅黑" w:hAnsi="微软雅黑" w:eastAsia="微软雅黑" w:cs="Tahoma"/>
          <w:kern w:val="0"/>
          <w:sz w:val="18"/>
          <w:szCs w:val="16"/>
        </w:rPr>
        <w:t>3、</w:t>
      </w:r>
      <w:r>
        <w:rPr>
          <w:rFonts w:ascii="微软雅黑" w:hAnsi="微软雅黑" w:eastAsia="微软雅黑" w:cs="Tahoma"/>
          <w:kern w:val="0"/>
          <w:sz w:val="18"/>
          <w:szCs w:val="16"/>
        </w:rPr>
        <w:t>产品吸墨稳定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微软雅黑" w:hAnsi="微软雅黑" w:eastAsia="微软雅黑" w:cs="Tahoma"/>
          <w:kern w:val="0"/>
          <w:sz w:val="18"/>
          <w:szCs w:val="16"/>
        </w:rPr>
        <w:t>，喷绘完画面的整体性强，视觉冲击力更高。</w:t>
      </w:r>
    </w:p>
    <w:p w14:paraId="0E525313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产品应用： </w:t>
      </w:r>
    </w:p>
    <w:p w14:paraId="1916EBF4">
      <w:p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适用于</w:t>
      </w:r>
      <w:r>
        <w:rPr>
          <w:rFonts w:hint="eastAsia" w:ascii="微软雅黑" w:hAnsi="微软雅黑" w:eastAsia="微软雅黑"/>
          <w:sz w:val="18"/>
          <w:szCs w:val="16"/>
        </w:rPr>
        <w:t>玻璃应用，同时也可适用于透明</w:t>
      </w:r>
      <w:r>
        <w:rPr>
          <w:rFonts w:hint="eastAsia" w:ascii="微软雅黑" w:hAnsi="微软雅黑" w:eastAsia="微软雅黑"/>
          <w:sz w:val="18"/>
        </w:rPr>
        <w:t>亚克力板、PVC、PET透明板等。</w:t>
      </w:r>
    </w:p>
    <w:p w14:paraId="3B749247">
      <w:p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  <w:szCs w:val="18"/>
        </w:rPr>
        <w:t>本产品适用于溶剂、弱溶剂、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UV、</w:t>
      </w:r>
      <w:r>
        <w:rPr>
          <w:rFonts w:hint="eastAsia" w:ascii="微软雅黑" w:hAnsi="微软雅黑" w:eastAsia="微软雅黑"/>
          <w:sz w:val="18"/>
          <w:szCs w:val="18"/>
        </w:rPr>
        <w:t>HP Latex墨水喷印方式</w:t>
      </w:r>
      <w:r>
        <w:rPr>
          <w:rFonts w:hint="eastAsia" w:ascii="微软雅黑" w:hAnsi="微软雅黑" w:eastAsia="微软雅黑"/>
          <w:sz w:val="18"/>
        </w:rPr>
        <w:t>。</w:t>
      </w:r>
    </w:p>
    <w:p w14:paraId="1F2A54F3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技术参数： </w:t>
      </w:r>
    </w:p>
    <w:p w14:paraId="26FE5541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测试条件：室内温度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23±2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50±5%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，以铝板、玻璃、钢板作为基材测试。</w:t>
      </w:r>
    </w:p>
    <w:tbl>
      <w:tblPr>
        <w:tblStyle w:val="5"/>
        <w:tblW w:w="6803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single" w:color="000000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175"/>
        <w:gridCol w:w="2082"/>
        <w:gridCol w:w="1433"/>
      </w:tblGrid>
      <w:tr w14:paraId="54B3D904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2113" w:type="dxa"/>
          </w:tcPr>
          <w:p w14:paraId="15BE416A">
            <w:pPr>
              <w:ind w:firstLine="320"/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/>
                <w:bCs/>
                <w:sz w:val="16"/>
                <w:szCs w:val="18"/>
              </w:rPr>
              <w:t>指标</w:t>
            </w:r>
          </w:p>
        </w:tc>
        <w:tc>
          <w:tcPr>
            <w:tcW w:w="1175" w:type="dxa"/>
          </w:tcPr>
          <w:p w14:paraId="3DE98872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/>
                <w:bCs/>
                <w:sz w:val="16"/>
                <w:szCs w:val="18"/>
              </w:rPr>
              <w:t>单位</w:t>
            </w:r>
          </w:p>
        </w:tc>
        <w:tc>
          <w:tcPr>
            <w:tcW w:w="2082" w:type="dxa"/>
          </w:tcPr>
          <w:p w14:paraId="1A281821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/>
                <w:bCs/>
                <w:sz w:val="16"/>
                <w:szCs w:val="18"/>
              </w:rPr>
              <w:t>测试方法</w:t>
            </w:r>
          </w:p>
        </w:tc>
        <w:tc>
          <w:tcPr>
            <w:tcW w:w="1433" w:type="dxa"/>
          </w:tcPr>
          <w:p w14:paraId="03819A9B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/>
                <w:bCs/>
                <w:sz w:val="16"/>
                <w:szCs w:val="18"/>
              </w:rPr>
              <w:t>标准</w:t>
            </w:r>
          </w:p>
        </w:tc>
      </w:tr>
      <w:tr w14:paraId="40497950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single" w:color="000000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2113" w:type="dxa"/>
          </w:tcPr>
          <w:p w14:paraId="7809A44E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PVC 膜厚度</w:t>
            </w:r>
          </w:p>
          <w:p w14:paraId="6AB58B71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hint="eastAsia" w:ascii="Tahoma" w:hAnsi="Tahoma" w:cs="Tahoma"/>
                <w:bCs/>
                <w:sz w:val="16"/>
                <w:szCs w:val="18"/>
              </w:rPr>
              <w:t>底纸克重</w:t>
            </w:r>
          </w:p>
          <w:p w14:paraId="2709BB9E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成品重量</w:t>
            </w:r>
          </w:p>
          <w:p w14:paraId="4D007A15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kern w:val="0"/>
                <w:sz w:val="16"/>
                <w:szCs w:val="18"/>
              </w:rPr>
              <w:t>24h，180°剥离力</w:t>
            </w:r>
          </w:p>
          <w:p w14:paraId="2813F661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尺寸稳定性MD</w:t>
            </w:r>
          </w:p>
          <w:p w14:paraId="19A110A4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尺寸稳定性CD</w:t>
            </w:r>
          </w:p>
          <w:p w14:paraId="2173D4A4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拉伸强度 MD</w:t>
            </w:r>
          </w:p>
          <w:p w14:paraId="031314CC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拉伸强度 CD</w:t>
            </w:r>
          </w:p>
          <w:p w14:paraId="46AC1734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施工温度</w:t>
            </w:r>
          </w:p>
          <w:p w14:paraId="2A30A6AF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适用温度</w:t>
            </w:r>
          </w:p>
        </w:tc>
        <w:tc>
          <w:tcPr>
            <w:tcW w:w="1175" w:type="dxa"/>
          </w:tcPr>
          <w:p w14:paraId="132FF65F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</w:rPr>
              <w:t>micron</w:t>
            </w:r>
          </w:p>
          <w:p w14:paraId="72DC3F8F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g/m²</w:t>
            </w:r>
          </w:p>
          <w:p w14:paraId="1FC51F32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g/m²</w:t>
            </w:r>
          </w:p>
          <w:p w14:paraId="4C198F46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N/25mm</w:t>
            </w:r>
          </w:p>
          <w:p w14:paraId="424A04E4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mm</w:t>
            </w:r>
          </w:p>
          <w:p w14:paraId="38BE8B82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mm</w:t>
            </w:r>
          </w:p>
          <w:p w14:paraId="4606487D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N/25 mm</w:t>
            </w:r>
          </w:p>
          <w:p w14:paraId="66373AEA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N/25 mm</w:t>
            </w:r>
          </w:p>
          <w:p w14:paraId="113E028D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hint="eastAsia" w:ascii="宋体" w:hAnsi="宋体" w:cs="宋体"/>
                <w:bCs/>
                <w:sz w:val="16"/>
                <w:szCs w:val="18"/>
              </w:rPr>
              <w:t>℃</w:t>
            </w:r>
          </w:p>
          <w:p w14:paraId="35157099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hint="eastAsia" w:ascii="宋体" w:hAnsi="宋体" w:cs="宋体"/>
                <w:bCs/>
                <w:sz w:val="16"/>
                <w:szCs w:val="18"/>
              </w:rPr>
              <w:t>℃</w:t>
            </w:r>
          </w:p>
        </w:tc>
        <w:tc>
          <w:tcPr>
            <w:tcW w:w="2082" w:type="dxa"/>
          </w:tcPr>
          <w:p w14:paraId="2D8231D5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GB/T6672-2001</w:t>
            </w:r>
          </w:p>
          <w:p w14:paraId="678A2BE9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GB4669-1995</w:t>
            </w:r>
          </w:p>
          <w:p w14:paraId="47D5FB42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GB4669-1995</w:t>
            </w:r>
          </w:p>
          <w:p w14:paraId="21B4C1C0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FTM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1</w:t>
            </w:r>
          </w:p>
          <w:p w14:paraId="0C56ADEE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FTM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14</w:t>
            </w:r>
          </w:p>
          <w:p w14:paraId="000B9FB6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FTM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 xml:space="preserve"> 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 xml:space="preserve">14   </w:t>
            </w:r>
          </w:p>
          <w:p w14:paraId="1D82EAB2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GB/T1040.1-2006</w:t>
            </w:r>
          </w:p>
          <w:p w14:paraId="33803BC5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GB/T1040.1-2006</w:t>
            </w:r>
          </w:p>
          <w:p w14:paraId="34B7D9D8">
            <w:pPr>
              <w:rPr>
                <w:rFonts w:ascii="Tahoma" w:hAnsi="Tahoma" w:cs="Tahoma"/>
                <w:bCs/>
                <w:sz w:val="16"/>
                <w:szCs w:val="18"/>
              </w:rPr>
            </w:pPr>
          </w:p>
        </w:tc>
        <w:tc>
          <w:tcPr>
            <w:tcW w:w="1433" w:type="dxa"/>
          </w:tcPr>
          <w:p w14:paraId="1976BE2F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1</w:t>
            </w:r>
            <w:r>
              <w:rPr>
                <w:rFonts w:hint="eastAsia" w:ascii="Tahoma" w:hAnsi="Tahoma" w:cs="Tahoma"/>
                <w:bCs/>
                <w:sz w:val="16"/>
                <w:szCs w:val="18"/>
                <w:lang w:val="en-US" w:eastAsia="zh-CN"/>
              </w:rPr>
              <w:t>6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0±10</w:t>
            </w:r>
          </w:p>
          <w:p w14:paraId="12D5F141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hint="eastAsia" w:ascii="Tahoma" w:hAnsi="Tahoma" w:cs="Tahoma"/>
                <w:sz w:val="16"/>
                <w:szCs w:val="18"/>
              </w:rPr>
              <w:t>1</w:t>
            </w:r>
            <w:r>
              <w:rPr>
                <w:rFonts w:hint="eastAsia" w:ascii="Tahoma" w:hAnsi="Tahoma" w:cs="Tahoma"/>
                <w:sz w:val="16"/>
                <w:szCs w:val="18"/>
                <w:lang w:val="en-US" w:eastAsia="zh-CN"/>
              </w:rPr>
              <w:t>80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±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10</w:t>
            </w:r>
          </w:p>
          <w:p w14:paraId="352D044B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hint="eastAsia" w:ascii="Tahoma" w:hAnsi="Tahoma" w:cs="Tahoma"/>
                <w:bCs/>
                <w:sz w:val="16"/>
                <w:szCs w:val="18"/>
                <w:lang w:val="en-US" w:eastAsia="zh-CN"/>
              </w:rPr>
              <w:t>340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±20</w:t>
            </w:r>
          </w:p>
          <w:p w14:paraId="3A7535A5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≥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4</w:t>
            </w:r>
          </w:p>
          <w:p w14:paraId="51D33B60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≤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1.5</w:t>
            </w:r>
          </w:p>
          <w:p w14:paraId="125E5630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≤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1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.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0</w:t>
            </w:r>
          </w:p>
          <w:p w14:paraId="59E301D6">
            <w:pPr>
              <w:rPr>
                <w:rFonts w:ascii="Tahoma" w:hAnsi="Tahoma" w:cs="Tahoma"/>
                <w:b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≥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25</w:t>
            </w:r>
          </w:p>
          <w:p w14:paraId="6D66E871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≥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20</w:t>
            </w:r>
          </w:p>
          <w:p w14:paraId="2E3F3206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hint="eastAsia" w:ascii="Tahoma" w:hAnsi="Tahoma" w:cs="Tahoma"/>
                <w:bCs/>
                <w:sz w:val="16"/>
                <w:szCs w:val="18"/>
              </w:rPr>
              <w:t>20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±</w:t>
            </w:r>
            <w:r>
              <w:rPr>
                <w:rFonts w:hint="eastAsia" w:ascii="Tahoma" w:hAnsi="Tahoma" w:cs="Tahoma"/>
                <w:bCs/>
                <w:sz w:val="16"/>
                <w:szCs w:val="18"/>
              </w:rPr>
              <w:t>1</w:t>
            </w:r>
            <w:r>
              <w:rPr>
                <w:rFonts w:ascii="Tahoma" w:hAnsi="Tahoma" w:cs="Tahoma"/>
                <w:bCs/>
                <w:sz w:val="16"/>
                <w:szCs w:val="18"/>
              </w:rPr>
              <w:t>0</w:t>
            </w:r>
          </w:p>
          <w:p w14:paraId="378AF73B">
            <w:pPr>
              <w:rPr>
                <w:rFonts w:ascii="Tahoma" w:hAnsi="Tahoma" w:cs="Tahoma"/>
                <w:bCs/>
                <w:sz w:val="16"/>
                <w:szCs w:val="18"/>
              </w:rPr>
            </w:pPr>
            <w:r>
              <w:rPr>
                <w:rFonts w:ascii="Tahoma" w:hAnsi="Tahoma" w:cs="Tahoma"/>
                <w:bCs/>
                <w:sz w:val="16"/>
                <w:szCs w:val="18"/>
              </w:rPr>
              <w:t>-20 ~ +70</w:t>
            </w:r>
          </w:p>
        </w:tc>
      </w:tr>
    </w:tbl>
    <w:p w14:paraId="53BED5E0">
      <w:pPr>
        <w:tabs>
          <w:tab w:val="center" w:pos="1301"/>
        </w:tabs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>*以上所有参数的变更恕不另行通知</w:t>
      </w:r>
    </w:p>
    <w:p w14:paraId="32A44875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仓储条件： </w:t>
      </w:r>
    </w:p>
    <w:p w14:paraId="2ABB7F8B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的产品需储放在原始包装中用原始的保护材料，建议密封保存，水平放置，叠放层高不宜超过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层，避免阳光直射、热源直接接触。仓储温度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50±15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。在这种条件下，该产品储存期是一年。</w:t>
      </w:r>
    </w:p>
    <w:p w14:paraId="0A2A9643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打印制作要求： </w:t>
      </w:r>
    </w:p>
    <w:p w14:paraId="0A207E28"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制作环境：</w:t>
      </w:r>
      <w:r>
        <w:rPr>
          <w:rFonts w:ascii="微软雅黑" w:hAnsi="微软雅黑" w:eastAsia="微软雅黑" w:cstheme="minorHAns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产品建议在温度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%，洁净无尘、无悬浮物的环境下使用；建议产品需提前24h从仓储环境转移至喷绘环境。墨水因匹配的设备不同，所以使用前请先测试；建议喷绘时需要留足够白边空隙。</w:t>
      </w:r>
    </w:p>
    <w:p w14:paraId="13413161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张贴要求：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；粘贴于平整、光滑、洁净、表面无浮尘、表皮无脱落的物体表面，贴合必要养护时间需要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小时以上。</w:t>
      </w:r>
    </w:p>
    <w:p w14:paraId="619DB1D9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质保条件： </w:t>
      </w:r>
    </w:p>
    <w:p w14:paraId="15BC1970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、保质期为一年：</w:t>
      </w:r>
      <w:r>
        <w:rPr>
          <w:rFonts w:hint="eastAsia" w:ascii="微软雅黑" w:hAnsi="微软雅黑" w:eastAsia="微软雅黑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  <w:t>单透膜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产品需满足仓储条件，半年内使用最佳。</w:t>
      </w:r>
    </w:p>
    <w:p w14:paraId="7F28C481"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2、追诉期：自产品生产之日起一年内，逾期不接受投诉。</w:t>
      </w:r>
    </w:p>
    <w:p w14:paraId="09BC8BE2"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重要备注： </w:t>
      </w:r>
    </w:p>
    <w:p w14:paraId="227EAB71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所有有关材料的说明、技术信息及应用推荐是基于我们认为可信的典型性测试结果，</w:t>
      </w:r>
      <w:bookmarkStart w:id="6" w:name="OLE_LINK14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不同国家、地区环境湿度高于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70%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以上喷绘打印效果有所下降。</w:t>
      </w:r>
      <w:bookmarkEnd w:id="6"/>
    </w:p>
    <w:p w14:paraId="758BB984">
      <w:pPr>
        <w:autoSpaceDE w:val="0"/>
        <w:autoSpaceDN w:val="0"/>
        <w:jc w:val="left"/>
        <w:rPr>
          <w:rFonts w:ascii="微软雅黑" w:hAnsi="微软雅黑" w:eastAsia="微软雅黑"/>
          <w:b/>
          <w:color w:val="FFFFFF" w:themeColor="background1"/>
          <w:sz w:val="24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/>
          <w:b/>
          <w:color w:val="FFFFFF" w:themeColor="background1"/>
          <w:shd w:val="clear" w:color="auto" w:fill="005BAC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FFFFFF" w:themeColor="background1"/>
          <w:sz w:val="24"/>
          <w:shd w:val="clear" w:color="auto" w:fill="005BAC"/>
          <w14:textFill>
            <w14:solidFill>
              <w14:schemeClr w14:val="bg1"/>
            </w14:solidFill>
          </w14:textFill>
        </w:rPr>
        <w:t xml:space="preserve"> 产品应用：</w:t>
      </w:r>
    </w:p>
    <w:p w14:paraId="5109FE36">
      <w:pPr>
        <w:autoSpaceDE w:val="0"/>
        <w:autoSpaceDN w:val="0"/>
        <w:jc w:val="left"/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ADABEB">
    <w:pPr>
      <w:pStyle w:val="3"/>
    </w:pPr>
    <w:r>
      <w:drawing>
        <wp:inline distT="0" distB="0" distL="0" distR="0">
          <wp:extent cx="6592570" cy="88265"/>
          <wp:effectExtent l="0" t="0" r="0" b="698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2837" cy="883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8B323C">
    <w:pPr>
      <w:pStyle w:val="4"/>
    </w:pPr>
    <w:r>
      <w:pict>
        <v:shape id="WordPictureWatermark9255775" o:spid="_x0000_s4098" o:spt="75" type="#_x0000_t75" style="position:absolute;left:0pt;height:188.75pt;width:398.7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  <w:r>
      <w:drawing>
        <wp:inline distT="0" distB="0" distL="0" distR="0">
          <wp:extent cx="6583680" cy="42354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3693" cy="423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350AE8">
    <w:pPr>
      <w:pStyle w:val="4"/>
    </w:pPr>
    <w:r>
      <w:pict>
        <v:shape id="WordPictureWatermark9255774" o:spid="_x0000_s4099" o:spt="75" type="#_x0000_t75" style="position:absolute;left:0pt;height:188.75pt;width:398.7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9407F">
    <w:pPr>
      <w:pStyle w:val="4"/>
    </w:pPr>
    <w:r>
      <w:pict>
        <v:shape id="WordPictureWatermark9255773" o:spid="_x0000_s4097" o:spt="75" type="#_x0000_t75" style="position:absolute;left:0pt;height:188.75pt;width:398.7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jZTUwMmUwZmJjNDRjZTE4ZjUyNzc3NzViMGVlNzkifQ=="/>
  </w:docVars>
  <w:rsids>
    <w:rsidRoot w:val="00E861FB"/>
    <w:rsid w:val="00003033"/>
    <w:rsid w:val="00011225"/>
    <w:rsid w:val="000242DD"/>
    <w:rsid w:val="001D0ECB"/>
    <w:rsid w:val="00287969"/>
    <w:rsid w:val="002A56F5"/>
    <w:rsid w:val="002B7197"/>
    <w:rsid w:val="00315FCF"/>
    <w:rsid w:val="00347532"/>
    <w:rsid w:val="00350D61"/>
    <w:rsid w:val="00354943"/>
    <w:rsid w:val="003E3B8F"/>
    <w:rsid w:val="00466487"/>
    <w:rsid w:val="0050781B"/>
    <w:rsid w:val="00513DB2"/>
    <w:rsid w:val="005863C0"/>
    <w:rsid w:val="005A3545"/>
    <w:rsid w:val="005B2B06"/>
    <w:rsid w:val="005B2C03"/>
    <w:rsid w:val="005F0BF2"/>
    <w:rsid w:val="00621927"/>
    <w:rsid w:val="00627042"/>
    <w:rsid w:val="007011BC"/>
    <w:rsid w:val="00752045"/>
    <w:rsid w:val="007B4DA7"/>
    <w:rsid w:val="007F1C8F"/>
    <w:rsid w:val="007F6058"/>
    <w:rsid w:val="008359EF"/>
    <w:rsid w:val="008B09D7"/>
    <w:rsid w:val="008C7971"/>
    <w:rsid w:val="008E1764"/>
    <w:rsid w:val="008E2276"/>
    <w:rsid w:val="00953E43"/>
    <w:rsid w:val="00A55905"/>
    <w:rsid w:val="00A97BE3"/>
    <w:rsid w:val="00AA2FF9"/>
    <w:rsid w:val="00AB1E91"/>
    <w:rsid w:val="00AF2625"/>
    <w:rsid w:val="00AF792A"/>
    <w:rsid w:val="00B02D39"/>
    <w:rsid w:val="00B85DDF"/>
    <w:rsid w:val="00BC15DF"/>
    <w:rsid w:val="00BD321A"/>
    <w:rsid w:val="00C062DF"/>
    <w:rsid w:val="00C46C6B"/>
    <w:rsid w:val="00C46E52"/>
    <w:rsid w:val="00CB3F6C"/>
    <w:rsid w:val="00CE17F4"/>
    <w:rsid w:val="00D05005"/>
    <w:rsid w:val="00D13ADC"/>
    <w:rsid w:val="00D612C2"/>
    <w:rsid w:val="00D7431C"/>
    <w:rsid w:val="00D8667C"/>
    <w:rsid w:val="00D87741"/>
    <w:rsid w:val="00DA7935"/>
    <w:rsid w:val="00DD39DC"/>
    <w:rsid w:val="00DD5808"/>
    <w:rsid w:val="00DF1486"/>
    <w:rsid w:val="00E324C1"/>
    <w:rsid w:val="00E67D0D"/>
    <w:rsid w:val="00E861FB"/>
    <w:rsid w:val="00E927B7"/>
    <w:rsid w:val="00EF6676"/>
    <w:rsid w:val="00F733B2"/>
    <w:rsid w:val="00F92B70"/>
    <w:rsid w:val="1EE6741F"/>
    <w:rsid w:val="2373798C"/>
    <w:rsid w:val="2A2537E8"/>
    <w:rsid w:val="3E946943"/>
    <w:rsid w:val="54D12D74"/>
    <w:rsid w:val="5A043A1A"/>
    <w:rsid w:val="5C1671BB"/>
    <w:rsid w:val="7DC1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table" w:customStyle="1" w:styleId="10">
    <w:name w:val="浅色底纹1"/>
    <w:basedOn w:val="5"/>
    <w:qFormat/>
    <w:uiPriority w:val="60"/>
    <w:rPr>
      <w:rFonts w:ascii="Times New Roman" w:hAnsi="Times New Roman" w:eastAsia="宋体" w:cs="Times New Roman"/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9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6BCF45-F4E9-4CB0-8A6A-494308927D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967</Characters>
  <Lines>7</Lines>
  <Paragraphs>2</Paragraphs>
  <TotalTime>14</TotalTime>
  <ScaleCrop>false</ScaleCrop>
  <LinksUpToDate>false</LinksUpToDate>
  <CharactersWithSpaces>1010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2018-08-27T14:23:00Z</dcterms:created>
  <dc:creator>Qin Yu-秦超(NAR)</dc:creator>
  <cp:lastModifiedBy>006152</cp:lastModifiedBy>
  <cp:lastPrinted>2018-08-20T01:40:00Z</cp:lastPrinted>
  <dcterms:modified xsi:type="dcterms:W3CDTF">2025-07-04T08:08:27Z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AE09C9A734D8430A83FFA5993AC96C91_13</vt:lpwstr>
  </property>
</Properties>
</file>